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889712" w14:textId="3DF60783" w:rsidR="00E90E49" w:rsidRPr="0033634F" w:rsidRDefault="00E90E49" w:rsidP="00E35559">
      <w:pPr>
        <w:pStyle w:val="3GPPHeader"/>
        <w:spacing w:after="60"/>
        <w:rPr>
          <w:sz w:val="32"/>
          <w:szCs w:val="32"/>
          <w:highlight w:val="yellow"/>
          <w:lang w:val="de-DE"/>
        </w:rPr>
      </w:pPr>
      <w:r w:rsidRPr="0033634F">
        <w:rPr>
          <w:lang w:val="de-DE"/>
        </w:rPr>
        <w:t>3GPP TSG-RAN WG</w:t>
      </w:r>
      <w:r w:rsidR="007730BD" w:rsidRPr="0033634F">
        <w:rPr>
          <w:lang w:val="de-DE"/>
        </w:rPr>
        <w:t>2</w:t>
      </w:r>
      <w:r w:rsidRPr="0033634F">
        <w:rPr>
          <w:lang w:val="de-DE"/>
        </w:rPr>
        <w:t xml:space="preserve"> #</w:t>
      </w:r>
      <w:r w:rsidR="00AE3743" w:rsidRPr="0033634F">
        <w:rPr>
          <w:lang w:val="de-DE"/>
        </w:rPr>
        <w:t>97bis</w:t>
      </w:r>
      <w:r w:rsidRPr="0033634F">
        <w:rPr>
          <w:lang w:val="de-DE"/>
        </w:rPr>
        <w:tab/>
      </w:r>
      <w:proofErr w:type="spellStart"/>
      <w:r w:rsidRPr="0033634F">
        <w:rPr>
          <w:sz w:val="32"/>
          <w:szCs w:val="32"/>
          <w:lang w:val="de-DE"/>
        </w:rPr>
        <w:t>Tdoc</w:t>
      </w:r>
      <w:proofErr w:type="spellEnd"/>
      <w:r w:rsidRPr="0033634F">
        <w:rPr>
          <w:sz w:val="32"/>
          <w:szCs w:val="32"/>
          <w:lang w:val="de-DE"/>
        </w:rPr>
        <w:t xml:space="preserve"> </w:t>
      </w:r>
      <w:r w:rsidR="0033634F" w:rsidRPr="0033634F">
        <w:rPr>
          <w:sz w:val="32"/>
          <w:szCs w:val="32"/>
          <w:lang w:val="de-DE"/>
        </w:rPr>
        <w:t>R2-1702752</w:t>
      </w:r>
    </w:p>
    <w:p w14:paraId="5D18802E" w14:textId="7607904D" w:rsidR="00E90E49" w:rsidRPr="00CE0424" w:rsidRDefault="00AE3743" w:rsidP="00311702">
      <w:pPr>
        <w:pStyle w:val="3GPPHeader"/>
      </w:pPr>
      <w:r>
        <w:t>Spokane, USA, 3</w:t>
      </w:r>
      <w:r w:rsidRPr="00AE3743">
        <w:rPr>
          <w:vertAlign w:val="superscript"/>
        </w:rPr>
        <w:t>rd</w:t>
      </w:r>
      <w:r>
        <w:t xml:space="preserve"> – 7</w:t>
      </w:r>
      <w:r w:rsidRPr="00AE3743">
        <w:rPr>
          <w:vertAlign w:val="superscript"/>
        </w:rPr>
        <w:t>th</w:t>
      </w:r>
      <w:r>
        <w:t xml:space="preserve"> April 2017</w:t>
      </w:r>
    </w:p>
    <w:p w14:paraId="0FFA3B1B" w14:textId="77777777" w:rsidR="00E90E49" w:rsidRPr="00CE0424" w:rsidRDefault="00E90E49" w:rsidP="00357380">
      <w:pPr>
        <w:pStyle w:val="3GPPHeader"/>
      </w:pPr>
    </w:p>
    <w:p w14:paraId="0DBA3ED9" w14:textId="6193A3DC" w:rsidR="00E90E49" w:rsidRPr="000609B2" w:rsidRDefault="00E90E49" w:rsidP="00311702">
      <w:pPr>
        <w:pStyle w:val="3GPPHeader"/>
        <w:rPr>
          <w:sz w:val="22"/>
          <w:szCs w:val="22"/>
        </w:rPr>
      </w:pPr>
      <w:r w:rsidRPr="000609B2">
        <w:rPr>
          <w:sz w:val="22"/>
          <w:szCs w:val="22"/>
        </w:rPr>
        <w:t>Agenda Item:</w:t>
      </w:r>
      <w:r w:rsidRPr="000609B2">
        <w:rPr>
          <w:sz w:val="22"/>
          <w:szCs w:val="22"/>
        </w:rPr>
        <w:tab/>
      </w:r>
      <w:r w:rsidR="0033634F" w:rsidRPr="000609B2">
        <w:rPr>
          <w:sz w:val="22"/>
          <w:szCs w:val="22"/>
        </w:rPr>
        <w:t>10.3.1.5</w:t>
      </w:r>
    </w:p>
    <w:p w14:paraId="3D09BB9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96F3307" w14:textId="2E03D064" w:rsidR="00E90E49" w:rsidRPr="00CE0424" w:rsidRDefault="003D3C45" w:rsidP="00311702">
      <w:pPr>
        <w:pStyle w:val="3GPPHeader"/>
        <w:rPr>
          <w:sz w:val="22"/>
          <w:szCs w:val="22"/>
        </w:rPr>
      </w:pPr>
      <w:r>
        <w:rPr>
          <w:sz w:val="22"/>
          <w:szCs w:val="22"/>
        </w:rPr>
        <w:t>Title:</w:t>
      </w:r>
      <w:r w:rsidR="00E90E49" w:rsidRPr="00CE0424">
        <w:rPr>
          <w:sz w:val="22"/>
          <w:szCs w:val="22"/>
        </w:rPr>
        <w:tab/>
      </w:r>
      <w:r w:rsidR="00244B71" w:rsidRPr="00244B71">
        <w:rPr>
          <w:sz w:val="22"/>
          <w:szCs w:val="22"/>
        </w:rPr>
        <w:t>On Mac for NR</w:t>
      </w:r>
      <w:r w:rsidR="007C0B91">
        <w:rPr>
          <w:sz w:val="22"/>
          <w:szCs w:val="22"/>
        </w:rPr>
        <w:t xml:space="preserve"> CA</w:t>
      </w:r>
    </w:p>
    <w:p w14:paraId="7A0567D6"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3634F">
        <w:rPr>
          <w:sz w:val="22"/>
          <w:szCs w:val="22"/>
        </w:rPr>
        <w:t>Discussion, Decision</w:t>
      </w:r>
    </w:p>
    <w:p w14:paraId="3C6D63D8" w14:textId="77777777" w:rsidR="00E90E49" w:rsidRPr="00CE0424" w:rsidRDefault="00E90E49" w:rsidP="00E90E49"/>
    <w:p w14:paraId="4B9C2CE9" w14:textId="0747FE7A" w:rsidR="00E90E49" w:rsidRDefault="00E90E49" w:rsidP="00CE0424">
      <w:pPr>
        <w:pStyle w:val="Heading1"/>
      </w:pPr>
      <w:r w:rsidRPr="00CE0424">
        <w:t>Introduction</w:t>
      </w:r>
    </w:p>
    <w:p w14:paraId="53F5C47E" w14:textId="3D8DC6C2" w:rsidR="007C0B91" w:rsidRPr="00356A46" w:rsidRDefault="007C0B91" w:rsidP="007C0B91">
      <w:pPr>
        <w:rPr>
          <w:bCs/>
          <w:iCs/>
          <w:lang w:eastAsia="ja-JP"/>
        </w:rPr>
      </w:pPr>
      <w:r>
        <w:t xml:space="preserve">CA (Carrier Aggregation) will </w:t>
      </w:r>
      <w:r w:rsidR="00A12236">
        <w:t>be considered for NR</w:t>
      </w:r>
      <w:r w:rsidR="0006620A">
        <w:t xml:space="preserve">, with the </w:t>
      </w:r>
      <w:r>
        <w:t xml:space="preserve">following assumptions </w:t>
      </w:r>
      <w:r w:rsidR="001A174E">
        <w:fldChar w:fldCharType="begin"/>
      </w:r>
      <w:r w:rsidR="001A174E">
        <w:instrText xml:space="preserve"> REF _Ref477941001 \r \h </w:instrText>
      </w:r>
      <w:r w:rsidR="001A174E">
        <w:fldChar w:fldCharType="separate"/>
      </w:r>
      <w:r w:rsidR="001A174E">
        <w:t>[1]</w:t>
      </w:r>
      <w:r w:rsidR="001A174E">
        <w:fldChar w:fldCharType="end"/>
      </w:r>
      <w:r>
        <w:t xml:space="preserve">. </w:t>
      </w:r>
      <w:r w:rsidRPr="0002634D">
        <w:rPr>
          <w:bCs/>
          <w:iCs/>
          <w:lang w:val="en-US" w:eastAsia="ja-JP"/>
        </w:rPr>
        <w:t xml:space="preserve">For phase 1, </w:t>
      </w:r>
      <w:r w:rsidR="0006620A">
        <w:rPr>
          <w:bCs/>
          <w:iCs/>
          <w:lang w:val="en-US" w:eastAsia="ja-JP"/>
        </w:rPr>
        <w:t xml:space="preserve">CA operation of </w:t>
      </w:r>
      <w:r>
        <w:rPr>
          <w:rFonts w:hint="eastAsia"/>
          <w:bCs/>
          <w:iCs/>
          <w:lang w:val="en-US" w:eastAsia="ja-JP"/>
        </w:rPr>
        <w:t xml:space="preserve">NR carriers </w:t>
      </w:r>
      <w:r w:rsidRPr="0002634D">
        <w:rPr>
          <w:bCs/>
          <w:iCs/>
          <w:lang w:val="en-US" w:eastAsia="ja-JP"/>
        </w:rPr>
        <w:t>over e.g. around 1GHz contiguous and non-contiguous spectrum from both NW and UE perspectives is supported</w:t>
      </w:r>
      <w:r>
        <w:rPr>
          <w:rFonts w:hint="eastAsia"/>
          <w:bCs/>
          <w:iCs/>
          <w:lang w:val="en-US" w:eastAsia="ja-JP"/>
        </w:rPr>
        <w:t xml:space="preserve">. </w:t>
      </w:r>
      <w:r>
        <w:rPr>
          <w:rFonts w:hint="eastAsia"/>
          <w:lang w:val="en-US" w:eastAsia="ja-JP"/>
        </w:rPr>
        <w:t>C</w:t>
      </w:r>
      <w:r w:rsidRPr="00DD21C9">
        <w:rPr>
          <w:lang w:val="en-US" w:eastAsia="ja-JP"/>
        </w:rPr>
        <w:t>arrier aggregation including different carriers having same or different numerologies</w:t>
      </w:r>
      <w:r>
        <w:rPr>
          <w:rFonts w:hint="eastAsia"/>
          <w:lang w:val="en-US" w:eastAsia="ja-JP"/>
        </w:rPr>
        <w:t xml:space="preserve"> is supported</w:t>
      </w:r>
      <w:r w:rsidRPr="00DD21C9">
        <w:rPr>
          <w:lang w:val="en-US" w:eastAsia="ja-JP"/>
        </w:rPr>
        <w:t>.</w:t>
      </w:r>
      <w:r>
        <w:rPr>
          <w:rFonts w:hint="eastAsia"/>
          <w:lang w:val="en-US" w:eastAsia="ja-JP"/>
        </w:rPr>
        <w:t xml:space="preserve"> </w:t>
      </w:r>
      <w:r w:rsidRPr="00E03682">
        <w:rPr>
          <w:lang w:val="en-US" w:eastAsia="ja-JP"/>
        </w:rPr>
        <w:t xml:space="preserve">From RAN1 specification perspective, the maximum number of NR carriers for CA and DC </w:t>
      </w:r>
      <w:r w:rsidRPr="007258AF">
        <w:rPr>
          <w:lang w:val="en-US" w:eastAsia="ja-JP"/>
        </w:rPr>
        <w:t xml:space="preserve">is </w:t>
      </w:r>
      <w:r w:rsidRPr="000609B2">
        <w:rPr>
          <w:lang w:val="en-US" w:eastAsia="ja-JP"/>
        </w:rPr>
        <w:t>[8, 16, 32]</w:t>
      </w:r>
      <w:r w:rsidRPr="007258AF">
        <w:rPr>
          <w:rFonts w:hint="eastAsia"/>
          <w:lang w:val="en-US" w:eastAsia="ja-JP"/>
        </w:rPr>
        <w:t>.</w:t>
      </w:r>
      <w:bookmarkStart w:id="0" w:name="_GoBack"/>
      <w:bookmarkEnd w:id="0"/>
    </w:p>
    <w:p w14:paraId="0DF5C49E" w14:textId="015D3497" w:rsidR="00A12236" w:rsidRDefault="00A12236" w:rsidP="00C27C42">
      <w:r>
        <w:t>This paper discusses the MAC aspects for carrier aggregation in NR by referring to the massive CA design in LTE.</w:t>
      </w:r>
      <w:r w:rsidRPr="00C27C42">
        <w:t xml:space="preserve"> </w:t>
      </w:r>
    </w:p>
    <w:p w14:paraId="1086C867" w14:textId="7E94E15B" w:rsidR="004000E8" w:rsidRDefault="004000E8" w:rsidP="00CE0424">
      <w:pPr>
        <w:pStyle w:val="Heading1"/>
      </w:pPr>
      <w:bookmarkStart w:id="1" w:name="_Ref178064866"/>
      <w:r w:rsidRPr="00CE0424">
        <w:t>Discussion</w:t>
      </w:r>
      <w:bookmarkEnd w:id="1"/>
    </w:p>
    <w:p w14:paraId="4C31E2FC" w14:textId="1AC9E1D9" w:rsidR="00785542" w:rsidRDefault="00785542" w:rsidP="000609B2">
      <w:pPr>
        <w:pStyle w:val="Heading2"/>
      </w:pPr>
      <w:r>
        <w:t>General aspects of MAC in NR CA</w:t>
      </w:r>
    </w:p>
    <w:p w14:paraId="46FC218B" w14:textId="2D1CFD65" w:rsidR="007C0B91" w:rsidRDefault="007C0B91" w:rsidP="007C0B91">
      <w:pPr>
        <w:pStyle w:val="BodyText"/>
      </w:pPr>
      <w:r>
        <w:t>There shall be no doubt that CA in NR shall be a general system feature to serve all ty</w:t>
      </w:r>
      <w:r w:rsidR="00A12236">
        <w:t xml:space="preserve">pes of services. There is one FFS </w:t>
      </w:r>
      <w:r>
        <w:t xml:space="preserve">regarding </w:t>
      </w:r>
      <w:r w:rsidR="00A12236">
        <w:t>the number of MAC entities for supporting CA</w:t>
      </w:r>
      <w:r w:rsidR="001A174E">
        <w:t xml:space="preserve"> according to the following agreements from</w:t>
      </w:r>
      <w:r>
        <w:t xml:space="preserve"> 3GPP RAN2-95:</w:t>
      </w:r>
    </w:p>
    <w:p w14:paraId="519FA304" w14:textId="77777777" w:rsidR="007C0B91" w:rsidRDefault="007C0B91" w:rsidP="007C0B91">
      <w:pPr>
        <w:pStyle w:val="Doc-text2"/>
        <w:pBdr>
          <w:top w:val="single" w:sz="4" w:space="1" w:color="auto"/>
          <w:left w:val="single" w:sz="4" w:space="4" w:color="auto"/>
          <w:bottom w:val="single" w:sz="4" w:space="1" w:color="auto"/>
          <w:right w:val="single" w:sz="4" w:space="4" w:color="auto"/>
        </w:pBdr>
      </w:pPr>
      <w:r>
        <w:t>Agreement</w:t>
      </w:r>
    </w:p>
    <w:p w14:paraId="6AA49901" w14:textId="685DAFE2" w:rsidR="00785542" w:rsidRDefault="007C0B91" w:rsidP="00785542">
      <w:pPr>
        <w:pStyle w:val="Doc-text2"/>
        <w:pBdr>
          <w:top w:val="single" w:sz="4" w:space="1" w:color="auto"/>
          <w:left w:val="single" w:sz="4" w:space="4" w:color="auto"/>
          <w:bottom w:val="single" w:sz="4" w:space="1" w:color="auto"/>
          <w:right w:val="single" w:sz="4" w:space="4" w:color="auto"/>
        </w:pBdr>
      </w:pPr>
      <w:r>
        <w:tab/>
        <w:t>From RAN2 point of view, aggregation of carriers with different numerologies should be supported in NR. (Modelling aspects such as whether it is a single or multiple MAC entity is FFS)</w:t>
      </w:r>
    </w:p>
    <w:p w14:paraId="510836A6" w14:textId="77777777" w:rsidR="00785542" w:rsidRDefault="00785542" w:rsidP="000609B2">
      <w:pPr>
        <w:pStyle w:val="Observation"/>
        <w:numPr>
          <w:ilvl w:val="0"/>
          <w:numId w:val="0"/>
        </w:numPr>
        <w:ind w:left="1701" w:hanging="1701"/>
      </w:pPr>
    </w:p>
    <w:p w14:paraId="3AAB101F" w14:textId="766187E1" w:rsidR="000A0FAE" w:rsidRDefault="000A0FAE" w:rsidP="000609B2">
      <w:pPr>
        <w:pStyle w:val="Observation"/>
      </w:pPr>
      <w:bookmarkStart w:id="2" w:name="_Toc478044103"/>
      <w:r>
        <w:t>Observation 1 No conclusion has been made on the number of MAC entities for NR CA</w:t>
      </w:r>
      <w:bookmarkEnd w:id="2"/>
    </w:p>
    <w:p w14:paraId="1DD5F4FD" w14:textId="7CBEE37F" w:rsidR="00443F5C" w:rsidRDefault="00337187" w:rsidP="00CE0424">
      <w:pPr>
        <w:pStyle w:val="BodyText"/>
      </w:pPr>
      <w:r>
        <w:t xml:space="preserve">In </w:t>
      </w:r>
      <w:r w:rsidR="00CE088B">
        <w:t>Release 13</w:t>
      </w:r>
      <w:r>
        <w:t xml:space="preserve">, </w:t>
      </w:r>
      <w:r w:rsidR="00CE088B">
        <w:t xml:space="preserve">massive </w:t>
      </w:r>
      <w:r w:rsidR="009C573A">
        <w:t>CA</w:t>
      </w:r>
      <w:r w:rsidR="00CE088B">
        <w:t xml:space="preserve"> was investigated</w:t>
      </w:r>
      <w:r w:rsidR="009C573A">
        <w:t xml:space="preserve"> for LTE</w:t>
      </w:r>
      <w:r w:rsidR="00CE088B">
        <w:t xml:space="preserve"> to support </w:t>
      </w:r>
      <w:r w:rsidR="009C573A">
        <w:t>CA</w:t>
      </w:r>
      <w:r w:rsidR="00CE088B">
        <w:t xml:space="preserve"> for up to 32 </w:t>
      </w:r>
      <w:r w:rsidR="0097091E">
        <w:t xml:space="preserve">component </w:t>
      </w:r>
      <w:r w:rsidR="00CE088B">
        <w:t>carriers</w:t>
      </w:r>
      <w:r w:rsidR="0097091E">
        <w:t xml:space="preserve"> (CC)</w:t>
      </w:r>
      <w:r w:rsidR="00CE088B">
        <w:t xml:space="preserve">. </w:t>
      </w:r>
      <w:r w:rsidR="0097091E">
        <w:t>To support cross-carrier scheduling, t</w:t>
      </w:r>
      <w:r w:rsidR="00CE088B">
        <w:t>he</w:t>
      </w:r>
      <w:r w:rsidR="007C605F">
        <w:t xml:space="preserve">re can be up to 4 </w:t>
      </w:r>
      <w:r w:rsidR="0097091E">
        <w:t xml:space="preserve">CC </w:t>
      </w:r>
      <w:r w:rsidR="007C605F">
        <w:t xml:space="preserve">groups and </w:t>
      </w:r>
      <w:r w:rsidR="0097091E">
        <w:t>cross-CC scheduling is restricted within one CC group. For each CC group, there can be</w:t>
      </w:r>
      <w:r w:rsidR="007C605F">
        <w:t xml:space="preserve"> up to 8 component carriers. </w:t>
      </w:r>
      <w:r w:rsidR="0097091E">
        <w:t>However, there is only one MAC entity to manage all the component carriers</w:t>
      </w:r>
      <w:r w:rsidR="007C605F">
        <w:t xml:space="preserve">. </w:t>
      </w:r>
      <w:r w:rsidR="007C605F">
        <w:fldChar w:fldCharType="begin"/>
      </w:r>
      <w:r w:rsidR="007C605F">
        <w:instrText xml:space="preserve"> REF _Ref476650945 \h </w:instrText>
      </w:r>
      <w:r w:rsidR="007C605F">
        <w:fldChar w:fldCharType="separate"/>
      </w:r>
      <w:r w:rsidR="007C605F">
        <w:t xml:space="preserve">Figure </w:t>
      </w:r>
      <w:r w:rsidR="007C605F">
        <w:rPr>
          <w:noProof/>
        </w:rPr>
        <w:t>1</w:t>
      </w:r>
      <w:r w:rsidR="007C605F">
        <w:fldChar w:fldCharType="end"/>
      </w:r>
      <w:r w:rsidR="007C605F">
        <w:t xml:space="preserve"> shows the </w:t>
      </w:r>
      <w:r w:rsidR="0097091E">
        <w:t xml:space="preserve">CC </w:t>
      </w:r>
      <w:r w:rsidR="007C605F">
        <w:t>group</w:t>
      </w:r>
      <w:r w:rsidR="000A0FAE">
        <w:t>ing</w:t>
      </w:r>
      <w:r w:rsidR="007C605F">
        <w:t xml:space="preserve"> and MAC entity relationship in case of massive </w:t>
      </w:r>
      <w:r w:rsidR="009C573A">
        <w:t>CA in LTE</w:t>
      </w:r>
      <w:r w:rsidR="007C605F">
        <w:t>.</w:t>
      </w:r>
      <w:r w:rsidR="009C573A">
        <w:t xml:space="preserve"> </w:t>
      </w:r>
    </w:p>
    <w:p w14:paraId="054F4986" w14:textId="40EBE2F7" w:rsidR="0097091E" w:rsidRDefault="0097091E" w:rsidP="00CE088B">
      <w:pPr>
        <w:pStyle w:val="BodyText"/>
        <w:jc w:val="center"/>
      </w:pPr>
      <w:r>
        <w:rPr>
          <w:noProof/>
          <w:lang w:eastAsia="ja-JP"/>
        </w:rPr>
        <w:lastRenderedPageBreak/>
        <w:drawing>
          <wp:inline distT="0" distB="0" distL="0" distR="0" wp14:anchorId="1C474A2B" wp14:editId="71879721">
            <wp:extent cx="5025390" cy="1359077"/>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30564" cy="1360476"/>
                    </a:xfrm>
                    <a:prstGeom prst="rect">
                      <a:avLst/>
                    </a:prstGeom>
                    <a:noFill/>
                  </pic:spPr>
                </pic:pic>
              </a:graphicData>
            </a:graphic>
          </wp:inline>
        </w:drawing>
      </w:r>
    </w:p>
    <w:p w14:paraId="0E21A938" w14:textId="31514808" w:rsidR="00442C99" w:rsidRDefault="00442C99" w:rsidP="00442C99">
      <w:pPr>
        <w:pStyle w:val="Caption"/>
      </w:pPr>
      <w:bookmarkStart w:id="3" w:name="_Ref476650945"/>
      <w:r>
        <w:t xml:space="preserve">Figure </w:t>
      </w:r>
      <w:r>
        <w:fldChar w:fldCharType="begin"/>
      </w:r>
      <w:r>
        <w:instrText xml:space="preserve"> SEQ Figure \* ARABIC </w:instrText>
      </w:r>
      <w:r>
        <w:fldChar w:fldCharType="separate"/>
      </w:r>
      <w:r>
        <w:rPr>
          <w:noProof/>
        </w:rPr>
        <w:t>1</w:t>
      </w:r>
      <w:r>
        <w:fldChar w:fldCharType="end"/>
      </w:r>
      <w:bookmarkEnd w:id="3"/>
      <w:r>
        <w:t xml:space="preserve"> </w:t>
      </w:r>
      <w:r w:rsidR="0097091E">
        <w:t xml:space="preserve">CC </w:t>
      </w:r>
      <w:r>
        <w:t>group</w:t>
      </w:r>
      <w:r w:rsidR="000A0FAE">
        <w:t>ing</w:t>
      </w:r>
      <w:r>
        <w:t xml:space="preserve"> and MAC entity for 32-carrier aggregation of LTE</w:t>
      </w:r>
    </w:p>
    <w:p w14:paraId="64B85FBE" w14:textId="77777777" w:rsidR="00443F5C" w:rsidRDefault="00443F5C" w:rsidP="00443F5C">
      <w:pPr>
        <w:pStyle w:val="TOC1"/>
      </w:pPr>
    </w:p>
    <w:p w14:paraId="36D69B42" w14:textId="3730358E" w:rsidR="00A12236" w:rsidRDefault="00443F5C" w:rsidP="00443F5C">
      <w:pPr>
        <w:pStyle w:val="TOC1"/>
      </w:pPr>
      <w:r>
        <w:t xml:space="preserve">Observation </w:t>
      </w:r>
      <w:r w:rsidR="000A0FAE">
        <w:t>2</w:t>
      </w:r>
      <w:r w:rsidR="008D1C49">
        <w:t>:</w:t>
      </w:r>
      <w:r w:rsidR="008D1C49">
        <w:tab/>
      </w:r>
      <w:r w:rsidR="003A7E14">
        <w:t xml:space="preserve">In LTE, </w:t>
      </w:r>
      <w:r w:rsidR="007C6B2F">
        <w:t>massive CA</w:t>
      </w:r>
      <w:r w:rsidR="007C605F">
        <w:t xml:space="preserve"> </w:t>
      </w:r>
      <w:r w:rsidR="007C6B2F">
        <w:t xml:space="preserve">is </w:t>
      </w:r>
      <w:r w:rsidR="007C605F">
        <w:t>supported</w:t>
      </w:r>
      <w:r w:rsidR="009C573A">
        <w:t xml:space="preserve"> based on </w:t>
      </w:r>
      <w:r w:rsidR="0097091E">
        <w:t>CC</w:t>
      </w:r>
      <w:r w:rsidR="009C573A">
        <w:t xml:space="preserve"> grouping </w:t>
      </w:r>
      <w:r w:rsidR="007C6B2F">
        <w:t>with one MAC entity</w:t>
      </w:r>
    </w:p>
    <w:p w14:paraId="3E0E82BB" w14:textId="77777777" w:rsidR="00A12236" w:rsidRDefault="00A12236" w:rsidP="006C68CB">
      <w:pPr>
        <w:pStyle w:val="BodyText"/>
      </w:pPr>
    </w:p>
    <w:p w14:paraId="2082149F" w14:textId="62318E55" w:rsidR="008F5596" w:rsidRDefault="00A12236" w:rsidP="006C68CB">
      <w:pPr>
        <w:pStyle w:val="BodyText"/>
      </w:pPr>
      <w:r w:rsidRPr="006C68CB">
        <w:t>With one</w:t>
      </w:r>
      <w:r>
        <w:t xml:space="preserve"> MAC entity for the aggregated carriers, one scheduler manages the radio resource allocations for all carriers. The scheduler </w:t>
      </w:r>
      <w:r w:rsidR="000A0FAE">
        <w:t xml:space="preserve">firstly </w:t>
      </w:r>
      <w:r>
        <w:t>estimate</w:t>
      </w:r>
      <w:r w:rsidR="0006620A">
        <w:t>s</w:t>
      </w:r>
      <w:r>
        <w:t xml:space="preserve"> the scheduling priorities and allocates the radio resource among the candidate users according to the descending order of the scheduling priorit</w:t>
      </w:r>
      <w:r w:rsidR="000A0FAE">
        <w:t>ies</w:t>
      </w:r>
      <w:r>
        <w:t xml:space="preserve">. </w:t>
      </w:r>
      <w:r w:rsidR="00C8546D">
        <w:t xml:space="preserve">In such way, the resource utilization efficiency and the QoS fulfilment can be well ensured. </w:t>
      </w:r>
      <w:r w:rsidR="0006620A">
        <w:t xml:space="preserve"> In contrast to that, if there were</w:t>
      </w:r>
      <w:r w:rsidR="00C8546D">
        <w:t xml:space="preserve"> multiple MAC entities, each MAC entity </w:t>
      </w:r>
      <w:r w:rsidR="0006620A">
        <w:t xml:space="preserve">would </w:t>
      </w:r>
      <w:r w:rsidR="00C8546D">
        <w:t xml:space="preserve">manage </w:t>
      </w:r>
      <w:r w:rsidR="00A27ADA">
        <w:t>several</w:t>
      </w:r>
      <w:r w:rsidR="00C8546D">
        <w:t xml:space="preserve"> carriers and the scheduling results of </w:t>
      </w:r>
      <w:r w:rsidR="000A0FAE">
        <w:t xml:space="preserve">a first </w:t>
      </w:r>
      <w:r w:rsidR="00C8546D">
        <w:t xml:space="preserve">MAC entity </w:t>
      </w:r>
      <w:r w:rsidR="0006620A">
        <w:t xml:space="preserve">would </w:t>
      </w:r>
      <w:r w:rsidR="00C8546D">
        <w:t xml:space="preserve">impact the scheduling procedure of </w:t>
      </w:r>
      <w:r w:rsidR="000A0FAE">
        <w:t xml:space="preserve">a second </w:t>
      </w:r>
      <w:r w:rsidR="00C8546D">
        <w:t>MAC entity because the buffer status and the candidate user</w:t>
      </w:r>
      <w:r w:rsidR="000A0FAE">
        <w:t>s</w:t>
      </w:r>
      <w:r w:rsidR="00C8546D">
        <w:t xml:space="preserve"> and/or scheduling priorities of the candidate users </w:t>
      </w:r>
      <w:r w:rsidR="0006620A">
        <w:t xml:space="preserve">would </w:t>
      </w:r>
      <w:r w:rsidR="00C8546D">
        <w:t>have been changed</w:t>
      </w:r>
      <w:r w:rsidR="000A0FAE">
        <w:t xml:space="preserve"> after the scheduling procedure of the first MAC entity</w:t>
      </w:r>
      <w:r w:rsidR="00C8546D">
        <w:t xml:space="preserve">. From this perspective, multiple MAC entity for CA </w:t>
      </w:r>
      <w:r w:rsidR="0006620A">
        <w:t xml:space="preserve">would </w:t>
      </w:r>
      <w:r w:rsidR="00C8546D">
        <w:t>also result in higher implementation complexity of MAC</w:t>
      </w:r>
      <w:r w:rsidR="000221E9">
        <w:t xml:space="preserve"> even though the QoS fulfilment can be achieved as well</w:t>
      </w:r>
      <w:r w:rsidR="00C8546D">
        <w:t>.</w:t>
      </w:r>
      <w:r w:rsidR="00A27ADA">
        <w:t xml:space="preserve"> </w:t>
      </w:r>
    </w:p>
    <w:p w14:paraId="6A502EF3" w14:textId="222E4D77" w:rsidR="0006620A" w:rsidRDefault="00A27ADA" w:rsidP="006C68CB">
      <w:pPr>
        <w:pStyle w:val="BodyText"/>
      </w:pPr>
      <w:r>
        <w:t>Another factor is the carrier management for a UE with one MAC entity seems also better than multiple MAC entities. For instance, with one MAC entity, there is no need to configure</w:t>
      </w:r>
      <w:r w:rsidR="00AD0EDB">
        <w:t>/release of</w:t>
      </w:r>
      <w:r>
        <w:t xml:space="preserve"> another MAC entity when a carrier is configured/released or activated/deactivated. While for multiple MAC entity design, </w:t>
      </w:r>
      <w:r w:rsidR="00AD0EDB">
        <w:t xml:space="preserve">a second </w:t>
      </w:r>
      <w:r>
        <w:t>MAC entity must be firstly configured when first carrier control</w:t>
      </w:r>
      <w:r w:rsidR="00AD0EDB">
        <w:t>led</w:t>
      </w:r>
      <w:r>
        <w:t xml:space="preserve"> by the </w:t>
      </w:r>
      <w:r w:rsidR="00AD0EDB">
        <w:t xml:space="preserve">second </w:t>
      </w:r>
      <w:r>
        <w:t xml:space="preserve">MAC entity is to be configured and/or activated or later released when the last carrier controlled by the MAC entity is released and/or </w:t>
      </w:r>
      <w:r w:rsidR="00AD0EDB">
        <w:t>de</w:t>
      </w:r>
      <w:r>
        <w:t xml:space="preserve">activated. From this perspective, one MAC entity has lower signalling overhead to manage the carriers for a UE. </w:t>
      </w:r>
      <w:r w:rsidR="0006620A">
        <w:t xml:space="preserve">Especially for massive CA deployments, considering one MAC entity (and associated required signalling) per carrier, appears infeasible, considering the required signalling overhead, as well as </w:t>
      </w:r>
      <w:r w:rsidR="00B37EA3">
        <w:t>complexity</w:t>
      </w:r>
      <w:r w:rsidR="0006620A">
        <w:t>.</w:t>
      </w:r>
    </w:p>
    <w:p w14:paraId="645BC464" w14:textId="60952019" w:rsidR="0006620A" w:rsidRDefault="0006620A" w:rsidP="006C68CB">
      <w:pPr>
        <w:pStyle w:val="BodyText"/>
      </w:pPr>
      <w:r>
        <w:t>Table 1</w:t>
      </w:r>
      <w:r w:rsidR="00A27ADA">
        <w:t xml:space="preserve"> below compare</w:t>
      </w:r>
      <w:r w:rsidR="00AD0EDB">
        <w:t>s the pros and cons between</w:t>
      </w:r>
      <w:r w:rsidR="00A27ADA">
        <w:t xml:space="preserve"> one MAC entity and multiple MAC entity design.</w:t>
      </w:r>
      <w:r w:rsidR="000221E9">
        <w:t xml:space="preserve"> More, </w:t>
      </w:r>
      <w:r w:rsidR="000A7D25">
        <w:t xml:space="preserve">each MAC entity may need to own self-contained control signals such as MAC CE for carrier activation and deactivation, power control, DRX configurations </w:t>
      </w:r>
      <w:proofErr w:type="spellStart"/>
      <w:r w:rsidR="000A7D25">
        <w:t>etc</w:t>
      </w:r>
      <w:proofErr w:type="spellEnd"/>
      <w:r w:rsidR="000A7D25">
        <w:t>, which means high workload for standardization.</w:t>
      </w:r>
      <w:r>
        <w:t xml:space="preserve"> </w:t>
      </w:r>
    </w:p>
    <w:p w14:paraId="0D16F16C" w14:textId="31E05F62" w:rsidR="00A27ADA" w:rsidRDefault="00A27ADA" w:rsidP="006C68CB">
      <w:pPr>
        <w:pStyle w:val="BodyText"/>
      </w:pPr>
    </w:p>
    <w:p w14:paraId="6FB8CCE9" w14:textId="1987A723" w:rsidR="0006620A" w:rsidRDefault="0006620A" w:rsidP="000609B2">
      <w:pPr>
        <w:pStyle w:val="Caption"/>
        <w:keepNext/>
      </w:pPr>
      <w:r>
        <w:t xml:space="preserve">Table </w:t>
      </w:r>
      <w:r>
        <w:fldChar w:fldCharType="begin"/>
      </w:r>
      <w:r>
        <w:instrText xml:space="preserve"> SEQ Table \* ARABIC </w:instrText>
      </w:r>
      <w:r>
        <w:fldChar w:fldCharType="separate"/>
      </w:r>
      <w:r>
        <w:rPr>
          <w:noProof/>
        </w:rPr>
        <w:t>1</w:t>
      </w:r>
      <w:r>
        <w:fldChar w:fldCharType="end"/>
      </w:r>
      <w:r>
        <w:t>: Comparing one MAC entity vs multiple MAC entities for CA.</w:t>
      </w:r>
    </w:p>
    <w:tbl>
      <w:tblPr>
        <w:tblStyle w:val="TableGrid"/>
        <w:tblW w:w="0" w:type="auto"/>
        <w:tblLook w:val="04A0" w:firstRow="1" w:lastRow="0" w:firstColumn="1" w:lastColumn="0" w:noHBand="0" w:noVBand="1"/>
      </w:tblPr>
      <w:tblGrid>
        <w:gridCol w:w="5868"/>
        <w:gridCol w:w="1980"/>
        <w:gridCol w:w="2007"/>
      </w:tblGrid>
      <w:tr w:rsidR="009644F2" w14:paraId="43E276C6" w14:textId="77777777" w:rsidTr="006C68CB">
        <w:tc>
          <w:tcPr>
            <w:tcW w:w="5868" w:type="dxa"/>
          </w:tcPr>
          <w:p w14:paraId="13CDC7B2" w14:textId="3E9625F4" w:rsidR="009644F2" w:rsidRDefault="009644F2" w:rsidP="00A12236">
            <w:pPr>
              <w:pStyle w:val="BodyText"/>
            </w:pPr>
          </w:p>
        </w:tc>
        <w:tc>
          <w:tcPr>
            <w:tcW w:w="1980" w:type="dxa"/>
          </w:tcPr>
          <w:p w14:paraId="5872BC86" w14:textId="3F5C9CCD" w:rsidR="009644F2" w:rsidRDefault="009644F2" w:rsidP="00A12236">
            <w:pPr>
              <w:pStyle w:val="BodyText"/>
            </w:pPr>
            <w:r>
              <w:t>One MAC entity</w:t>
            </w:r>
          </w:p>
        </w:tc>
        <w:tc>
          <w:tcPr>
            <w:tcW w:w="2007" w:type="dxa"/>
          </w:tcPr>
          <w:p w14:paraId="44B737BF" w14:textId="53FD4150" w:rsidR="009644F2" w:rsidRDefault="0006620A" w:rsidP="00A12236">
            <w:pPr>
              <w:pStyle w:val="BodyText"/>
            </w:pPr>
            <w:r>
              <w:t xml:space="preserve">Multiple </w:t>
            </w:r>
            <w:r w:rsidR="009644F2">
              <w:t>MAC entity</w:t>
            </w:r>
          </w:p>
        </w:tc>
      </w:tr>
      <w:tr w:rsidR="009644F2" w14:paraId="5C075207" w14:textId="77777777" w:rsidTr="006C68CB">
        <w:tc>
          <w:tcPr>
            <w:tcW w:w="5868" w:type="dxa"/>
          </w:tcPr>
          <w:p w14:paraId="5A5D0985" w14:textId="4EBDE4F6" w:rsidR="009644F2" w:rsidRDefault="000221E9" w:rsidP="00A12236">
            <w:pPr>
              <w:pStyle w:val="BodyText"/>
            </w:pPr>
            <w:r>
              <w:t>QoS fulfilment</w:t>
            </w:r>
          </w:p>
        </w:tc>
        <w:tc>
          <w:tcPr>
            <w:tcW w:w="1980" w:type="dxa"/>
          </w:tcPr>
          <w:p w14:paraId="3E430729" w14:textId="1A37D87B" w:rsidR="009644F2" w:rsidRDefault="000221E9" w:rsidP="006C68CB">
            <w:pPr>
              <w:pStyle w:val="BodyText"/>
              <w:jc w:val="center"/>
            </w:pPr>
            <w:r>
              <w:object w:dxaOrig="420" w:dyaOrig="324" w14:anchorId="3D1CF0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16.75pt" o:ole="">
                  <v:imagedata r:id="rId15" o:title=""/>
                </v:shape>
                <o:OLEObject Type="Embed" ProgID="PBrush" ShapeID="_x0000_i1025" DrawAspect="Content" ObjectID="_1551905062" r:id="rId16"/>
              </w:object>
            </w:r>
          </w:p>
        </w:tc>
        <w:tc>
          <w:tcPr>
            <w:tcW w:w="2007" w:type="dxa"/>
          </w:tcPr>
          <w:p w14:paraId="2C76938D" w14:textId="2E0D4EEA" w:rsidR="009644F2" w:rsidRDefault="000221E9" w:rsidP="006C68CB">
            <w:pPr>
              <w:pStyle w:val="BodyText"/>
              <w:jc w:val="center"/>
            </w:pPr>
            <w:r>
              <w:object w:dxaOrig="420" w:dyaOrig="324" w14:anchorId="39FCB089">
                <v:shape id="_x0000_i1026" type="#_x0000_t75" style="width:20.95pt;height:16.75pt" o:ole="">
                  <v:imagedata r:id="rId15" o:title=""/>
                </v:shape>
                <o:OLEObject Type="Embed" ProgID="PBrush" ShapeID="_x0000_i1026" DrawAspect="Content" ObjectID="_1551905063" r:id="rId17"/>
              </w:object>
            </w:r>
          </w:p>
        </w:tc>
      </w:tr>
      <w:tr w:rsidR="000221E9" w14:paraId="7A5BC4CB" w14:textId="77777777" w:rsidTr="006C68CB">
        <w:tc>
          <w:tcPr>
            <w:tcW w:w="5868" w:type="dxa"/>
          </w:tcPr>
          <w:p w14:paraId="1FE2AD2A" w14:textId="1664C338" w:rsidR="000221E9" w:rsidRDefault="000221E9" w:rsidP="000221E9">
            <w:pPr>
              <w:pStyle w:val="BodyText"/>
            </w:pPr>
            <w:r>
              <w:t>Resource allocation efficiency</w:t>
            </w:r>
          </w:p>
        </w:tc>
        <w:tc>
          <w:tcPr>
            <w:tcW w:w="1980" w:type="dxa"/>
          </w:tcPr>
          <w:p w14:paraId="5619D6D5" w14:textId="094280BE" w:rsidR="000221E9" w:rsidRDefault="000221E9" w:rsidP="006C68CB">
            <w:pPr>
              <w:pStyle w:val="BodyText"/>
              <w:jc w:val="center"/>
            </w:pPr>
            <w:r>
              <w:object w:dxaOrig="420" w:dyaOrig="324" w14:anchorId="32A1EE5F">
                <v:shape id="_x0000_i1027" type="#_x0000_t75" style="width:20.95pt;height:16.75pt" o:ole="">
                  <v:imagedata r:id="rId15" o:title=""/>
                </v:shape>
                <o:OLEObject Type="Embed" ProgID="PBrush" ShapeID="_x0000_i1027" DrawAspect="Content" ObjectID="_1551905064" r:id="rId18"/>
              </w:object>
            </w:r>
          </w:p>
        </w:tc>
        <w:tc>
          <w:tcPr>
            <w:tcW w:w="2007" w:type="dxa"/>
          </w:tcPr>
          <w:p w14:paraId="38539A85" w14:textId="7137147C" w:rsidR="000221E9" w:rsidRDefault="000221E9" w:rsidP="006C68CB">
            <w:pPr>
              <w:pStyle w:val="BodyText"/>
              <w:jc w:val="center"/>
            </w:pPr>
            <w:r>
              <w:object w:dxaOrig="360" w:dyaOrig="312" w14:anchorId="57519E69">
                <v:shape id="_x0000_i1028" type="#_x0000_t75" style="width:18.4pt;height:15.9pt" o:ole="">
                  <v:imagedata r:id="rId19" o:title=""/>
                </v:shape>
                <o:OLEObject Type="Embed" ProgID="PBrush" ShapeID="_x0000_i1028" DrawAspect="Content" ObjectID="_1551905065" r:id="rId20"/>
              </w:object>
            </w:r>
          </w:p>
        </w:tc>
      </w:tr>
      <w:tr w:rsidR="000221E9" w14:paraId="3354D7E7" w14:textId="77777777" w:rsidTr="006C68CB">
        <w:tc>
          <w:tcPr>
            <w:tcW w:w="5868" w:type="dxa"/>
          </w:tcPr>
          <w:p w14:paraId="2D998FD7" w14:textId="2F098949" w:rsidR="000221E9" w:rsidRDefault="000221E9" w:rsidP="000221E9">
            <w:pPr>
              <w:pStyle w:val="BodyText"/>
            </w:pPr>
            <w:r>
              <w:t xml:space="preserve">Implementation complexity </w:t>
            </w:r>
          </w:p>
        </w:tc>
        <w:tc>
          <w:tcPr>
            <w:tcW w:w="1980" w:type="dxa"/>
          </w:tcPr>
          <w:p w14:paraId="772FFAC0" w14:textId="59D4E0AB" w:rsidR="000221E9" w:rsidRDefault="000221E9" w:rsidP="006C68CB">
            <w:pPr>
              <w:pStyle w:val="BodyText"/>
              <w:jc w:val="center"/>
            </w:pPr>
            <w:r>
              <w:object w:dxaOrig="420" w:dyaOrig="324" w14:anchorId="4882B7E0">
                <v:shape id="_x0000_i1029" type="#_x0000_t75" style="width:20.95pt;height:16.75pt" o:ole="">
                  <v:imagedata r:id="rId15" o:title=""/>
                </v:shape>
                <o:OLEObject Type="Embed" ProgID="PBrush" ShapeID="_x0000_i1029" DrawAspect="Content" ObjectID="_1551905066" r:id="rId21"/>
              </w:object>
            </w:r>
          </w:p>
        </w:tc>
        <w:tc>
          <w:tcPr>
            <w:tcW w:w="2007" w:type="dxa"/>
          </w:tcPr>
          <w:p w14:paraId="06B39B2E" w14:textId="6F143BA6" w:rsidR="000221E9" w:rsidRDefault="000221E9" w:rsidP="006C68CB">
            <w:pPr>
              <w:pStyle w:val="BodyText"/>
              <w:jc w:val="center"/>
            </w:pPr>
            <w:r>
              <w:object w:dxaOrig="360" w:dyaOrig="312" w14:anchorId="5C70D124">
                <v:shape id="_x0000_i1030" type="#_x0000_t75" style="width:18.4pt;height:15.9pt" o:ole="">
                  <v:imagedata r:id="rId19" o:title=""/>
                </v:shape>
                <o:OLEObject Type="Embed" ProgID="PBrush" ShapeID="_x0000_i1030" DrawAspect="Content" ObjectID="_1551905067" r:id="rId22"/>
              </w:object>
            </w:r>
          </w:p>
        </w:tc>
      </w:tr>
      <w:tr w:rsidR="000221E9" w14:paraId="677DBD9C" w14:textId="77777777" w:rsidTr="006C68CB">
        <w:tc>
          <w:tcPr>
            <w:tcW w:w="5868" w:type="dxa"/>
          </w:tcPr>
          <w:p w14:paraId="58EB887E" w14:textId="2AA3E369" w:rsidR="000221E9" w:rsidRDefault="000221E9" w:rsidP="000221E9">
            <w:pPr>
              <w:pStyle w:val="BodyText"/>
            </w:pPr>
            <w:proofErr w:type="spellStart"/>
            <w:r>
              <w:t>Signaling</w:t>
            </w:r>
            <w:proofErr w:type="spellEnd"/>
            <w:r>
              <w:t xml:space="preserve"> overhead for carrier management</w:t>
            </w:r>
          </w:p>
        </w:tc>
        <w:tc>
          <w:tcPr>
            <w:tcW w:w="1980" w:type="dxa"/>
          </w:tcPr>
          <w:p w14:paraId="5EE01FDD" w14:textId="624326BD" w:rsidR="000221E9" w:rsidRDefault="000221E9" w:rsidP="006C68CB">
            <w:pPr>
              <w:pStyle w:val="BodyText"/>
              <w:jc w:val="center"/>
            </w:pPr>
            <w:r>
              <w:object w:dxaOrig="420" w:dyaOrig="324" w14:anchorId="1601E88D">
                <v:shape id="_x0000_i1031" type="#_x0000_t75" style="width:20.95pt;height:16.75pt" o:ole="">
                  <v:imagedata r:id="rId15" o:title=""/>
                </v:shape>
                <o:OLEObject Type="Embed" ProgID="PBrush" ShapeID="_x0000_i1031" DrawAspect="Content" ObjectID="_1551905068" r:id="rId23"/>
              </w:object>
            </w:r>
          </w:p>
        </w:tc>
        <w:tc>
          <w:tcPr>
            <w:tcW w:w="2007" w:type="dxa"/>
          </w:tcPr>
          <w:p w14:paraId="5733562C" w14:textId="7F2F9E4D" w:rsidR="000221E9" w:rsidRDefault="000221E9" w:rsidP="006C68CB">
            <w:pPr>
              <w:pStyle w:val="BodyText"/>
              <w:jc w:val="center"/>
            </w:pPr>
            <w:r>
              <w:object w:dxaOrig="360" w:dyaOrig="312" w14:anchorId="64C54687">
                <v:shape id="_x0000_i1032" type="#_x0000_t75" style="width:18.4pt;height:15.9pt" o:ole="">
                  <v:imagedata r:id="rId19" o:title=""/>
                </v:shape>
                <o:OLEObject Type="Embed" ProgID="PBrush" ShapeID="_x0000_i1032" DrawAspect="Content" ObjectID="_1551905069" r:id="rId24"/>
              </w:object>
            </w:r>
          </w:p>
        </w:tc>
      </w:tr>
      <w:tr w:rsidR="000221E9" w14:paraId="1F298ADB" w14:textId="77777777" w:rsidTr="006C68CB">
        <w:tc>
          <w:tcPr>
            <w:tcW w:w="5868" w:type="dxa"/>
          </w:tcPr>
          <w:p w14:paraId="5DDFEB87" w14:textId="7AF3632B" w:rsidR="000221E9" w:rsidRDefault="00DB28F3">
            <w:pPr>
              <w:pStyle w:val="BodyText"/>
            </w:pPr>
            <w:r>
              <w:t>W</w:t>
            </w:r>
            <w:r w:rsidR="000A7D25">
              <w:t>orkload for standardization</w:t>
            </w:r>
          </w:p>
        </w:tc>
        <w:tc>
          <w:tcPr>
            <w:tcW w:w="1980" w:type="dxa"/>
          </w:tcPr>
          <w:p w14:paraId="725B7C6C" w14:textId="01518676" w:rsidR="000221E9" w:rsidRDefault="000A7D25" w:rsidP="006C68CB">
            <w:pPr>
              <w:pStyle w:val="BodyText"/>
              <w:jc w:val="center"/>
            </w:pPr>
            <w:r>
              <w:object w:dxaOrig="420" w:dyaOrig="324" w14:anchorId="6E20F485">
                <v:shape id="_x0000_i1033" type="#_x0000_t75" style="width:20.95pt;height:16.75pt" o:ole="">
                  <v:imagedata r:id="rId15" o:title=""/>
                </v:shape>
                <o:OLEObject Type="Embed" ProgID="PBrush" ShapeID="_x0000_i1033" DrawAspect="Content" ObjectID="_1551905070" r:id="rId25"/>
              </w:object>
            </w:r>
          </w:p>
        </w:tc>
        <w:tc>
          <w:tcPr>
            <w:tcW w:w="2007" w:type="dxa"/>
          </w:tcPr>
          <w:p w14:paraId="3AC12808" w14:textId="03746537" w:rsidR="000221E9" w:rsidRDefault="000A7D25" w:rsidP="006C68CB">
            <w:pPr>
              <w:pStyle w:val="BodyText"/>
              <w:jc w:val="center"/>
            </w:pPr>
            <w:r>
              <w:object w:dxaOrig="360" w:dyaOrig="312" w14:anchorId="2C42383E">
                <v:shape id="_x0000_i1034" type="#_x0000_t75" style="width:18.4pt;height:15.9pt" o:ole="">
                  <v:imagedata r:id="rId19" o:title=""/>
                </v:shape>
                <o:OLEObject Type="Embed" ProgID="PBrush" ShapeID="_x0000_i1034" DrawAspect="Content" ObjectID="_1551905071" r:id="rId26"/>
              </w:object>
            </w:r>
          </w:p>
        </w:tc>
      </w:tr>
    </w:tbl>
    <w:p w14:paraId="07B7F704" w14:textId="77777777" w:rsidR="00A27ADA" w:rsidRDefault="00A27ADA" w:rsidP="006C68CB">
      <w:pPr>
        <w:pStyle w:val="BodyText"/>
      </w:pPr>
    </w:p>
    <w:p w14:paraId="506F059A" w14:textId="0D8ECDEE" w:rsidR="00C8546D" w:rsidRDefault="00DB28F3">
      <w:pPr>
        <w:pStyle w:val="TOC1"/>
      </w:pPr>
      <w:r>
        <w:lastRenderedPageBreak/>
        <w:t xml:space="preserve">Observation </w:t>
      </w:r>
      <w:r w:rsidR="00633D78">
        <w:t>3</w:t>
      </w:r>
      <w:r>
        <w:t xml:space="preserve">: </w:t>
      </w:r>
      <w:r w:rsidR="00AD0EDB">
        <w:t>For NR CA, o</w:t>
      </w:r>
      <w:r>
        <w:t>ne MAC entity outperforms multiple MAC entity in multiple aspects:</w:t>
      </w:r>
    </w:p>
    <w:p w14:paraId="15E385BE" w14:textId="5A1E6565" w:rsidR="00DB28F3" w:rsidRDefault="00DB28F3" w:rsidP="006C68CB">
      <w:pPr>
        <w:pStyle w:val="TOC1"/>
        <w:numPr>
          <w:ilvl w:val="0"/>
          <w:numId w:val="24"/>
        </w:numPr>
      </w:pPr>
      <w:r>
        <w:t>Resource allocation efficiency</w:t>
      </w:r>
    </w:p>
    <w:p w14:paraId="5B24A86F" w14:textId="3A2842AE" w:rsidR="00DB28F3" w:rsidRDefault="00DB28F3" w:rsidP="006C68CB">
      <w:pPr>
        <w:pStyle w:val="TOC1"/>
        <w:numPr>
          <w:ilvl w:val="0"/>
          <w:numId w:val="24"/>
        </w:numPr>
      </w:pPr>
      <w:r>
        <w:t>Implementation complexity</w:t>
      </w:r>
    </w:p>
    <w:p w14:paraId="3592E81A" w14:textId="5BBDFBB2" w:rsidR="00DB28F3" w:rsidRDefault="00DB28F3" w:rsidP="006C68CB">
      <w:pPr>
        <w:pStyle w:val="TOC1"/>
        <w:numPr>
          <w:ilvl w:val="0"/>
          <w:numId w:val="24"/>
        </w:numPr>
      </w:pPr>
      <w:r>
        <w:t>Signaling overhead for carrier management</w:t>
      </w:r>
    </w:p>
    <w:p w14:paraId="05435384" w14:textId="77777777" w:rsidR="00DB28F3" w:rsidRDefault="00DB28F3" w:rsidP="006C68CB">
      <w:pPr>
        <w:pStyle w:val="TOC1"/>
        <w:numPr>
          <w:ilvl w:val="0"/>
          <w:numId w:val="24"/>
        </w:numPr>
      </w:pPr>
      <w:r>
        <w:t>Workload for standardization</w:t>
      </w:r>
    </w:p>
    <w:p w14:paraId="226DD4E6" w14:textId="77B453A0" w:rsidR="00DB28F3" w:rsidRDefault="00DB28F3" w:rsidP="006C68CB">
      <w:pPr>
        <w:pStyle w:val="BodyText"/>
      </w:pPr>
    </w:p>
    <w:p w14:paraId="54B26080" w14:textId="4F3D17AA" w:rsidR="00785542" w:rsidRDefault="00785542" w:rsidP="00785542">
      <w:pPr>
        <w:pStyle w:val="BodyText"/>
      </w:pPr>
      <w:r>
        <w:t xml:space="preserve">Furthermore, in RAN2-97 </w:t>
      </w:r>
      <w:r>
        <w:fldChar w:fldCharType="begin"/>
      </w:r>
      <w:r>
        <w:instrText xml:space="preserve"> REF _Ref476647971 \r \h </w:instrText>
      </w:r>
      <w:r>
        <w:fldChar w:fldCharType="separate"/>
      </w:r>
      <w:r>
        <w:t>[3]</w:t>
      </w:r>
      <w:r>
        <w:fldChar w:fldCharType="end"/>
      </w:r>
      <w:r>
        <w:t xml:space="preserve"> it was agreed that single MAC entity can support one or more numerologies/TTI durations. It is also feasible to aggregate carriers of different numerologies with one MAC entity. </w:t>
      </w:r>
    </w:p>
    <w:p w14:paraId="508A5F09" w14:textId="4068FA81" w:rsidR="00785542" w:rsidRDefault="00785542" w:rsidP="00785542">
      <w:pPr>
        <w:pStyle w:val="TOC1"/>
      </w:pPr>
      <w:r>
        <w:t>Observation 2:</w:t>
      </w:r>
      <w:r>
        <w:tab/>
        <w:t>It was agreed that in NR a single MAC entity can support multiple numerlogies/TTI durations.</w:t>
      </w:r>
    </w:p>
    <w:p w14:paraId="5BF91171" w14:textId="77777777" w:rsidR="00785542" w:rsidRDefault="00785542" w:rsidP="006C68CB">
      <w:pPr>
        <w:pStyle w:val="BodyText"/>
      </w:pPr>
    </w:p>
    <w:p w14:paraId="749D4356" w14:textId="5DBC3D02" w:rsidR="006C68CB" w:rsidRDefault="00785542" w:rsidP="000609B2">
      <w:pPr>
        <w:pStyle w:val="Heading2"/>
      </w:pPr>
      <w:r>
        <w:t>NR MAC in case with PDCP duplication</w:t>
      </w:r>
    </w:p>
    <w:p w14:paraId="502D38CC" w14:textId="1A2BA871" w:rsidR="006C68CB" w:rsidRDefault="006C68CB" w:rsidP="006C68CB">
      <w:r>
        <w:t>In 3GPP RAN2-97, it was agreed to introduce PDCP packet duplication in NR</w:t>
      </w:r>
      <w:r w:rsidR="0006620A">
        <w:t xml:space="preserve"> CA</w:t>
      </w:r>
      <w:r>
        <w:t>. Below are the agreements</w:t>
      </w:r>
      <w:r>
        <w:fldChar w:fldCharType="begin"/>
      </w:r>
      <w:r>
        <w:instrText xml:space="preserve"> REF _Ref477944451 \r \h </w:instrText>
      </w:r>
      <w:r>
        <w:fldChar w:fldCharType="separate"/>
      </w:r>
      <w:r>
        <w:t>[3]</w:t>
      </w:r>
      <w:r>
        <w:fldChar w:fldCharType="end"/>
      </w:r>
      <w:r>
        <w:t>:</w:t>
      </w:r>
    </w:p>
    <w:p w14:paraId="71E8BC01" w14:textId="77777777" w:rsidR="006C68CB" w:rsidRDefault="006C68CB" w:rsidP="006C68CB">
      <w:pPr>
        <w:pStyle w:val="Doc-text2"/>
        <w:pBdr>
          <w:top w:val="single" w:sz="4" w:space="1" w:color="auto"/>
          <w:left w:val="single" w:sz="4" w:space="4" w:color="auto"/>
          <w:bottom w:val="single" w:sz="4" w:space="1" w:color="auto"/>
          <w:right w:val="single" w:sz="4" w:space="4" w:color="auto"/>
        </w:pBdr>
      </w:pPr>
      <w:r>
        <w:t>Agreement:</w:t>
      </w:r>
    </w:p>
    <w:p w14:paraId="088160A9" w14:textId="77777777" w:rsidR="006C68CB" w:rsidRDefault="006C68CB" w:rsidP="006C68CB">
      <w:pPr>
        <w:pStyle w:val="Doc-text2"/>
        <w:pBdr>
          <w:top w:val="single" w:sz="4" w:space="1" w:color="auto"/>
          <w:left w:val="single" w:sz="4" w:space="4" w:color="auto"/>
          <w:bottom w:val="single" w:sz="4" w:space="1" w:color="auto"/>
          <w:right w:val="single" w:sz="4" w:space="4" w:color="auto"/>
        </w:pBdr>
      </w:pPr>
      <w:r>
        <w:t>-</w:t>
      </w:r>
      <w:r>
        <w:tab/>
        <w:t>For DL and UL, duplication solution for CA case uses PDCP duplication to more than 1 logical channel so that the duplicated PDCP PDUs are sent over different carriers.</w:t>
      </w:r>
    </w:p>
    <w:p w14:paraId="6665F541" w14:textId="77777777" w:rsidR="006C68CB" w:rsidRDefault="006C68CB" w:rsidP="006C68CB">
      <w:pPr>
        <w:pStyle w:val="Doc-text2"/>
        <w:pBdr>
          <w:top w:val="single" w:sz="4" w:space="1" w:color="auto"/>
          <w:left w:val="single" w:sz="4" w:space="4" w:color="auto"/>
          <w:bottom w:val="single" w:sz="4" w:space="1" w:color="auto"/>
          <w:right w:val="single" w:sz="4" w:space="4" w:color="auto"/>
        </w:pBdr>
      </w:pPr>
      <w:r>
        <w:t>FFS whether this is a single or two MAC entities</w:t>
      </w:r>
    </w:p>
    <w:p w14:paraId="6E816D69" w14:textId="77777777" w:rsidR="008F5596" w:rsidRDefault="008F5596" w:rsidP="006C68CB"/>
    <w:p w14:paraId="4779DFF9" w14:textId="5A51C7B9" w:rsidR="006C68CB" w:rsidRDefault="006C68CB" w:rsidP="006C68CB">
      <w:pPr>
        <w:pStyle w:val="BodyText"/>
      </w:pPr>
      <w:r>
        <w:t>According the agreement, more than one logical channels will be created for one bearer whose packet will be duplicated transmitted via packet duplication in PDCP layer. When there is a coming packet, duplications of a coming packet are assigned to different associated logical channels. At data transmission, it is required that the associated logical channels</w:t>
      </w:r>
      <w:r w:rsidRPr="003E2E7F">
        <w:t xml:space="preserve"> </w:t>
      </w:r>
      <w:r>
        <w:t>served by different carriers</w:t>
      </w:r>
      <w:r w:rsidR="00AD0EDB">
        <w:t xml:space="preserve"> to achieve frequency diversity gain</w:t>
      </w:r>
      <w:r>
        <w:t xml:space="preserve">. There is an open issue on how to map the logical channels associated with one bearer to different carriers in MAC layer: using single MAC entity or two MAC entities. </w:t>
      </w:r>
    </w:p>
    <w:p w14:paraId="29921CF7" w14:textId="4BD83C9C" w:rsidR="006C68CB" w:rsidRDefault="006C68CB" w:rsidP="006C68CB">
      <w:pPr>
        <w:pStyle w:val="TOC1"/>
      </w:pPr>
      <w:r>
        <w:t xml:space="preserve">Observation </w:t>
      </w:r>
      <w:r w:rsidR="00633D78">
        <w:t>4</w:t>
      </w:r>
      <w:r>
        <w:t>:</w:t>
      </w:r>
      <w:r w:rsidRPr="00DB0A9F">
        <w:rPr>
          <w:rFonts w:ascii="Calibri" w:eastAsia="SimSun" w:hAnsi="Calibri"/>
          <w:b w:val="0"/>
          <w:sz w:val="22"/>
        </w:rPr>
        <w:tab/>
      </w:r>
      <w:r>
        <w:t>The number of MAC entities for NR CA</w:t>
      </w:r>
      <w:r w:rsidR="00B37EA3">
        <w:t xml:space="preserve"> is</w:t>
      </w:r>
      <w:r>
        <w:t xml:space="preserve"> </w:t>
      </w:r>
      <w:r w:rsidR="007605BA">
        <w:t>was listed FFS for</w:t>
      </w:r>
      <w:r>
        <w:t xml:space="preserve"> PDCP packet duplication.</w:t>
      </w:r>
    </w:p>
    <w:p w14:paraId="656DEA79" w14:textId="42550B9E" w:rsidR="006C68CB" w:rsidRDefault="006C68CB" w:rsidP="006C68CB">
      <w:pPr>
        <w:pStyle w:val="BodyText"/>
      </w:pPr>
    </w:p>
    <w:p w14:paraId="44C90D62" w14:textId="2C48FBA8" w:rsidR="006C68CB" w:rsidRDefault="00785542" w:rsidP="006C68CB">
      <w:pPr>
        <w:pStyle w:val="BodyText"/>
      </w:pPr>
      <w:r>
        <w:rPr>
          <w:lang w:val="en-US"/>
        </w:rPr>
        <w:t xml:space="preserve">Even though this duplication solution </w:t>
      </w:r>
      <w:r w:rsidR="00765D87">
        <w:rPr>
          <w:lang w:val="en-US"/>
        </w:rPr>
        <w:t xml:space="preserve">for CA </w:t>
      </w:r>
      <w:r>
        <w:rPr>
          <w:lang w:val="en-US"/>
        </w:rPr>
        <w:t xml:space="preserve">builds on PDCP and the </w:t>
      </w:r>
      <w:r w:rsidR="00765D87">
        <w:rPr>
          <w:lang w:val="en-US"/>
        </w:rPr>
        <w:t xml:space="preserve">DC </w:t>
      </w:r>
      <w:r>
        <w:rPr>
          <w:lang w:val="en-US"/>
        </w:rPr>
        <w:t xml:space="preserve">split bearer, however with logical channels (RLCs) associated with the same </w:t>
      </w:r>
      <w:proofErr w:type="spellStart"/>
      <w:r>
        <w:rPr>
          <w:lang w:val="en-US"/>
        </w:rPr>
        <w:t>eNB</w:t>
      </w:r>
      <w:proofErr w:type="spellEnd"/>
      <w:r>
        <w:rPr>
          <w:lang w:val="en-US"/>
        </w:rPr>
        <w:t xml:space="preserve">, i.e. cell group, it does not imply </w:t>
      </w:r>
      <w:r w:rsidR="00765D87">
        <w:rPr>
          <w:lang w:val="en-US"/>
        </w:rPr>
        <w:t xml:space="preserve">at all </w:t>
      </w:r>
      <w:r>
        <w:rPr>
          <w:lang w:val="en-US"/>
        </w:rPr>
        <w:t xml:space="preserve">that multiple MAC entities need to be associated to those logical channels (RLCs). </w:t>
      </w:r>
      <w:r w:rsidR="006C68CB">
        <w:t>NR CA is one general system feature</w:t>
      </w:r>
      <w:r w:rsidR="00AD0EDB">
        <w:t>, which is</w:t>
      </w:r>
      <w:r w:rsidR="006C68CB">
        <w:t xml:space="preserve"> supposed to be service agnostic, i.e. NR CA is designed to improve the NR system capacity for all UEs</w:t>
      </w:r>
      <w:r w:rsidR="009C527B">
        <w:t>/services</w:t>
      </w:r>
      <w:r w:rsidR="006C68CB">
        <w:t xml:space="preserve"> rather than the performance improvement for certain service</w:t>
      </w:r>
      <w:r w:rsidR="009C527B">
        <w:t>/UE</w:t>
      </w:r>
      <w:r w:rsidR="006C68CB">
        <w:t xml:space="preserve"> type</w:t>
      </w:r>
      <w:r w:rsidR="00B37EA3">
        <w:t xml:space="preserve"> only</w:t>
      </w:r>
      <w:r w:rsidR="006C68CB">
        <w:t xml:space="preserve">. PDCP packet duplication in case of CA is mainly used to enhance the data transmission reliability </w:t>
      </w:r>
      <w:r w:rsidR="009C527B">
        <w:t xml:space="preserve">for services with </w:t>
      </w:r>
      <w:r w:rsidR="006C68CB">
        <w:t xml:space="preserve">short delay budget. If it </w:t>
      </w:r>
      <w:r w:rsidR="007605BA">
        <w:t xml:space="preserve">was </w:t>
      </w:r>
      <w:r w:rsidR="006C68CB">
        <w:t xml:space="preserve">agreed to </w:t>
      </w:r>
      <w:r w:rsidR="009C527B">
        <w:t xml:space="preserve">require </w:t>
      </w:r>
      <w:r w:rsidR="006C68CB">
        <w:t>two MAC entities for PDCP packet duplication</w:t>
      </w:r>
      <w:r w:rsidR="009C527B">
        <w:t xml:space="preserve"> in CA</w:t>
      </w:r>
      <w:r w:rsidR="006C68CB">
        <w:t xml:space="preserve">, there </w:t>
      </w:r>
      <w:r w:rsidR="007605BA">
        <w:t xml:space="preserve">would </w:t>
      </w:r>
      <w:r w:rsidR="006C68CB">
        <w:t>be two MAC entities for NR CA for support PDCP packet duplication in case of CA</w:t>
      </w:r>
      <w:r w:rsidR="009C527B">
        <w:t>, otherwise PDCP packet duplication is not applicable in NR CA</w:t>
      </w:r>
      <w:r w:rsidR="006C68CB">
        <w:t xml:space="preserve">. It is strange that PDCP packet duplication as a </w:t>
      </w:r>
      <w:r w:rsidR="009657CF">
        <w:t xml:space="preserve">special </w:t>
      </w:r>
      <w:r w:rsidR="006C68CB">
        <w:t>feature to support certain type of service put requirements on the MAC protocol structure of NR CA as a general system feature. Logically, it is reasonable that the design of PDCP packet duplication in CA shall follow the basic design for NR CA.</w:t>
      </w:r>
    </w:p>
    <w:p w14:paraId="701331E1" w14:textId="5F0CC4F6" w:rsidR="006C68CB" w:rsidRDefault="006C68CB" w:rsidP="000609B2">
      <w:pPr>
        <w:pStyle w:val="Observation"/>
      </w:pPr>
      <w:bookmarkStart w:id="4" w:name="_Toc478044104"/>
      <w:r>
        <w:t xml:space="preserve">PDCP packet duplication </w:t>
      </w:r>
      <w:r w:rsidR="00765D87">
        <w:t xml:space="preserve">does </w:t>
      </w:r>
      <w:r>
        <w:t xml:space="preserve">not put </w:t>
      </w:r>
      <w:r w:rsidR="00765D87">
        <w:t xml:space="preserve">any </w:t>
      </w:r>
      <w:r>
        <w:t xml:space="preserve">requirements on the basic </w:t>
      </w:r>
      <w:r w:rsidR="009C527B">
        <w:t xml:space="preserve">MAC protocol design </w:t>
      </w:r>
      <w:r>
        <w:t>of NR CA</w:t>
      </w:r>
      <w:r w:rsidR="00765D87">
        <w:t>.</w:t>
      </w:r>
      <w:bookmarkEnd w:id="4"/>
    </w:p>
    <w:p w14:paraId="2B6D774E" w14:textId="77777777" w:rsidR="006C68CB" w:rsidRDefault="006C68CB" w:rsidP="006C68CB"/>
    <w:p w14:paraId="2186BAD6" w14:textId="4FDB84AF" w:rsidR="006C68CB" w:rsidRDefault="006C68CB" w:rsidP="006C68CB">
      <w:pPr>
        <w:rPr>
          <w:rFonts w:ascii="Calibri" w:hAnsi="Calibri"/>
          <w:lang w:val="en-US"/>
        </w:rPr>
      </w:pPr>
      <w:r>
        <w:t xml:space="preserve">According to the above analysis, one MAC entity is the better choice for NR CA. Even if multiple MAC entity </w:t>
      </w:r>
      <w:r w:rsidR="007605BA">
        <w:t xml:space="preserve">were </w:t>
      </w:r>
      <w:r w:rsidR="009C527B">
        <w:t xml:space="preserve">allowed </w:t>
      </w:r>
      <w:r>
        <w:t xml:space="preserve">for NR CA, it </w:t>
      </w:r>
      <w:r w:rsidR="007605BA">
        <w:t xml:space="preserve">would </w:t>
      </w:r>
      <w:r>
        <w:t xml:space="preserve">not mean that multiple MAC entities </w:t>
      </w:r>
      <w:r w:rsidR="007605BA">
        <w:t xml:space="preserve">are </w:t>
      </w:r>
      <w:r>
        <w:t xml:space="preserve">always </w:t>
      </w:r>
      <w:r w:rsidR="009C527B">
        <w:t>available</w:t>
      </w:r>
      <w:r>
        <w:t>. For instance, one MAC entity could be preferred if there are only two aggregated carriers of close carrier frequency</w:t>
      </w:r>
      <w:r w:rsidR="009C527B">
        <w:t xml:space="preserve"> </w:t>
      </w:r>
      <w:r>
        <w:t>there is no reason to configure two MAC entities without benefit. Hence for PDCP packet duplication in NR CA, one MAC entity</w:t>
      </w:r>
      <w:r w:rsidR="009C527B">
        <w:t xml:space="preserve"> in NR CA</w:t>
      </w:r>
      <w:r>
        <w:t xml:space="preserve"> should be assumed. For </w:t>
      </w:r>
      <w:proofErr w:type="gramStart"/>
      <w:r>
        <w:t>mapping</w:t>
      </w:r>
      <w:proofErr w:type="gramEnd"/>
      <w:r>
        <w:t xml:space="preserve"> logical channels associated with the same bearer to different CCs, one could add flags for the logical channels. MAC then determines the association relationship of the logical channels based on the flags and further map the logical channels to different </w:t>
      </w:r>
      <w:r>
        <w:lastRenderedPageBreak/>
        <w:t xml:space="preserve">carriers according the flags. </w:t>
      </w:r>
      <w:r w:rsidR="009C527B">
        <w:t xml:space="preserve">For more discussions regarding PDCP packet duplication, please refer to </w:t>
      </w:r>
      <w:r w:rsidR="009C527B">
        <w:fldChar w:fldCharType="begin"/>
      </w:r>
      <w:r w:rsidR="009C527B">
        <w:instrText xml:space="preserve"> REF _Ref477955553 \r \h </w:instrText>
      </w:r>
      <w:r w:rsidR="009C527B">
        <w:fldChar w:fldCharType="separate"/>
      </w:r>
      <w:r w:rsidR="009C527B">
        <w:t>[4]</w:t>
      </w:r>
      <w:r w:rsidR="009C527B">
        <w:fldChar w:fldCharType="end"/>
      </w:r>
      <w:r w:rsidR="009C527B">
        <w:t xml:space="preserve">. Here </w:t>
      </w:r>
      <w:r>
        <w:t xml:space="preserve">we </w:t>
      </w:r>
      <w:r w:rsidR="00765D87">
        <w:t>observe</w:t>
      </w:r>
      <w:r>
        <w:t>:</w:t>
      </w:r>
    </w:p>
    <w:p w14:paraId="48BA72DE" w14:textId="0A8C59D2" w:rsidR="006C68CB" w:rsidRDefault="00765D87" w:rsidP="000609B2">
      <w:pPr>
        <w:pStyle w:val="Observation"/>
      </w:pPr>
      <w:bookmarkStart w:id="5" w:name="_Toc478044105"/>
      <w:r>
        <w:t>PDCP packet duplication in CA does not require multiple MAC entities.</w:t>
      </w:r>
      <w:bookmarkEnd w:id="5"/>
      <w:r>
        <w:t xml:space="preserve"> </w:t>
      </w:r>
    </w:p>
    <w:p w14:paraId="74D36FEA" w14:textId="4963CEFF" w:rsidR="00E52191" w:rsidRDefault="00765D87" w:rsidP="006C68CB">
      <w:r>
        <w:t>Finally, there is no point for diverging NR CA design for CA in general and PDCP packet duplication in CA.</w:t>
      </w:r>
    </w:p>
    <w:p w14:paraId="5FC485F5" w14:textId="77BA9766" w:rsidR="006C68CB" w:rsidRPr="00CE0424" w:rsidRDefault="006C68CB" w:rsidP="006C68CB">
      <w:pPr>
        <w:pStyle w:val="Heading1"/>
      </w:pPr>
      <w:r w:rsidRPr="00CE0424">
        <w:t>Conclusion</w:t>
      </w:r>
    </w:p>
    <w:p w14:paraId="273192CF" w14:textId="52778684" w:rsidR="00785542" w:rsidRDefault="006C68CB" w:rsidP="006C68CB">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sidR="00765D87" w:rsidDel="00765D87">
        <w:rPr>
          <w:b/>
          <w:bCs/>
        </w:rPr>
        <w:t xml:space="preserve"> </w:t>
      </w:r>
    </w:p>
    <w:p w14:paraId="50D9B5E7" w14:textId="77777777" w:rsidR="00765D87" w:rsidRDefault="00765D87">
      <w:pPr>
        <w:pStyle w:val="TOC1"/>
        <w:rPr>
          <w:rFonts w:asciiTheme="minorHAnsi" w:eastAsiaTheme="minorEastAsia" w:hAnsiTheme="minorHAnsi" w:cstheme="minorBidi"/>
          <w:b w:val="0"/>
          <w:sz w:val="22"/>
          <w:lang w:eastAsia="en-US"/>
        </w:rPr>
      </w:pPr>
      <w:r>
        <w:fldChar w:fldCharType="begin"/>
      </w:r>
      <w:r>
        <w:instrText xml:space="preserve"> TOC \n \t "Observation,1" </w:instrText>
      </w:r>
      <w:r>
        <w:fldChar w:fldCharType="separate"/>
      </w:r>
      <w:r>
        <w:t>Observation 1</w:t>
      </w:r>
      <w:r>
        <w:rPr>
          <w:rFonts w:asciiTheme="minorHAnsi" w:eastAsiaTheme="minorEastAsia" w:hAnsiTheme="minorHAnsi" w:cstheme="minorBidi"/>
          <w:b w:val="0"/>
          <w:sz w:val="22"/>
          <w:lang w:eastAsia="en-US"/>
        </w:rPr>
        <w:tab/>
      </w:r>
      <w:r>
        <w:t>Observation 1 No conclusion has been made on the number of MAC entities for NR CA</w:t>
      </w:r>
    </w:p>
    <w:p w14:paraId="4B245262" w14:textId="77777777" w:rsidR="00765D87" w:rsidRDefault="00765D87">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PDCP packet duplication does not put any requirements on the basic MAC protocol design of NR CA.</w:t>
      </w:r>
    </w:p>
    <w:p w14:paraId="4B794FEB" w14:textId="725E68DF" w:rsidR="00765D87" w:rsidRDefault="00765D87">
      <w:pPr>
        <w:pStyle w:val="TOC1"/>
      </w:pPr>
      <w:r>
        <w:t>Observation 3</w:t>
      </w:r>
      <w:r>
        <w:rPr>
          <w:rFonts w:asciiTheme="minorHAnsi" w:eastAsiaTheme="minorEastAsia" w:hAnsiTheme="minorHAnsi" w:cstheme="minorBidi"/>
          <w:b w:val="0"/>
          <w:sz w:val="22"/>
          <w:lang w:eastAsia="en-US"/>
        </w:rPr>
        <w:tab/>
      </w:r>
      <w:r>
        <w:t>PDCP packet duplication in CA does not require multiple MAC entities.</w:t>
      </w:r>
    </w:p>
    <w:p w14:paraId="57CFA14B" w14:textId="77777777" w:rsidR="007258AF" w:rsidRDefault="007258AF" w:rsidP="007258AF">
      <w:pPr>
        <w:pStyle w:val="TOC1"/>
      </w:pPr>
      <w:r>
        <w:t>Observation 4:</w:t>
      </w:r>
      <w:r w:rsidRPr="00DB0A9F">
        <w:rPr>
          <w:rFonts w:ascii="Calibri" w:eastAsia="SimSun" w:hAnsi="Calibri"/>
          <w:b w:val="0"/>
          <w:sz w:val="22"/>
        </w:rPr>
        <w:tab/>
      </w:r>
      <w:r>
        <w:t>The number of MAC entities for NR CA is was listed FFS for PDCP packet duplication.</w:t>
      </w:r>
    </w:p>
    <w:p w14:paraId="06709949" w14:textId="66CE8B6C" w:rsidR="00765D87" w:rsidRDefault="00765D87" w:rsidP="006C68CB">
      <w:pPr>
        <w:pStyle w:val="BodyText"/>
      </w:pPr>
      <w:r>
        <w:fldChar w:fldCharType="end"/>
      </w:r>
    </w:p>
    <w:p w14:paraId="6E4FC8FA" w14:textId="77777777" w:rsidR="00785542" w:rsidRDefault="00785542" w:rsidP="00785542">
      <w:r>
        <w:t xml:space="preserve">Overall, considering both general aspects of MAC in CA, and PDCP duplication in CA </w:t>
      </w:r>
      <w:proofErr w:type="gramStart"/>
      <w:r>
        <w:t>in particular, we</w:t>
      </w:r>
      <w:proofErr w:type="gramEnd"/>
      <w:r>
        <w:t xml:space="preserve"> conclude:</w:t>
      </w:r>
    </w:p>
    <w:p w14:paraId="6AAA07A2" w14:textId="7CE043FB" w:rsidR="006C68CB" w:rsidRPr="00520BF8" w:rsidRDefault="00785542" w:rsidP="000609B2">
      <w:pPr>
        <w:pStyle w:val="Proposal"/>
        <w:rPr>
          <w:lang w:val="en-US"/>
        </w:rPr>
      </w:pPr>
      <w:r>
        <w:t>NR CA is supported by one MAC entity, as in LTE.</w:t>
      </w:r>
    </w:p>
    <w:p w14:paraId="17F3C565" w14:textId="77777777" w:rsidR="006C68CB" w:rsidRPr="00CE0424" w:rsidRDefault="006C68CB" w:rsidP="006C68CB">
      <w:pPr>
        <w:pStyle w:val="Heading1"/>
      </w:pPr>
      <w:r w:rsidRPr="00CE0424">
        <w:t>References</w:t>
      </w:r>
    </w:p>
    <w:p w14:paraId="7DE86A9C" w14:textId="77777777" w:rsidR="006C68CB" w:rsidRDefault="006C68CB" w:rsidP="006C68CB">
      <w:pPr>
        <w:pStyle w:val="Reference"/>
      </w:pPr>
      <w:bookmarkStart w:id="6" w:name="_Ref477941001"/>
      <w:r>
        <w:t xml:space="preserve">3GPP TR 38.802-120, </w:t>
      </w:r>
      <w:r w:rsidRPr="007840DB">
        <w:t>Physical Layer Aspects</w:t>
      </w:r>
      <w:bookmarkEnd w:id="6"/>
    </w:p>
    <w:p w14:paraId="584EE858" w14:textId="77777777" w:rsidR="006C68CB" w:rsidRDefault="006C68CB" w:rsidP="006C68CB">
      <w:pPr>
        <w:pStyle w:val="Reference"/>
      </w:pPr>
      <w:r>
        <w:t xml:space="preserve">Chairman Notes, 3GPP TSG-RAN WG2 Meeting #95 </w:t>
      </w:r>
    </w:p>
    <w:p w14:paraId="6634539B" w14:textId="35078A4B" w:rsidR="006C68CB" w:rsidRDefault="006C68CB" w:rsidP="006C68CB">
      <w:pPr>
        <w:pStyle w:val="Reference"/>
      </w:pPr>
      <w:bookmarkStart w:id="7" w:name="_Ref477944451"/>
      <w:r w:rsidRPr="00FD00D1">
        <w:t>Chairman Notes</w:t>
      </w:r>
      <w:r>
        <w:t xml:space="preserve">, </w:t>
      </w:r>
      <w:r w:rsidRPr="00FD00D1">
        <w:t>3GPP TSG-RAN WG2 Meeting #97</w:t>
      </w:r>
      <w:bookmarkEnd w:id="7"/>
      <w:r>
        <w:t xml:space="preserve"> </w:t>
      </w:r>
    </w:p>
    <w:p w14:paraId="7D513F4D" w14:textId="7ED67031" w:rsidR="009C527B" w:rsidRPr="00F50D3F" w:rsidRDefault="00F50D3F" w:rsidP="00A87DDD">
      <w:pPr>
        <w:pStyle w:val="Reference"/>
      </w:pPr>
      <w:bookmarkStart w:id="8" w:name="_Ref477955553"/>
      <w:r w:rsidRPr="00F50D3F">
        <w:rPr>
          <w:rFonts w:cs="Arial"/>
          <w:color w:val="333333"/>
        </w:rPr>
        <w:t xml:space="preserve">R2-1702753, </w:t>
      </w:r>
      <w:r w:rsidR="009C527B" w:rsidRPr="000609B2">
        <w:t>Controlling of duplication in case of CA</w:t>
      </w:r>
      <w:bookmarkEnd w:id="8"/>
      <w:r w:rsidR="00633D78" w:rsidRPr="00F50D3F">
        <w:t>, Ericsson</w:t>
      </w:r>
      <w:r w:rsidRPr="00F50D3F">
        <w:t>, TSG-RAN WG2 #97bis, Spokane, USA, 3rd – 7th April 2017</w:t>
      </w:r>
    </w:p>
    <w:p w14:paraId="0260081F" w14:textId="44877514" w:rsidR="003A7EF3" w:rsidRPr="00CE0424" w:rsidRDefault="003A7EF3" w:rsidP="006C68CB">
      <w:pPr>
        <w:pStyle w:val="BodyText"/>
      </w:pPr>
      <w:bookmarkStart w:id="9" w:name="_In-sequence_SDU_delivery"/>
      <w:bookmarkEnd w:id="9"/>
    </w:p>
    <w:sectPr w:rsidR="003A7EF3" w:rsidRPr="00CE0424">
      <w:headerReference w:type="even" r:id="rId27"/>
      <w:foot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55A816" w14:textId="77777777" w:rsidR="003A51A2" w:rsidRDefault="003A51A2">
      <w:r>
        <w:separator/>
      </w:r>
    </w:p>
  </w:endnote>
  <w:endnote w:type="continuationSeparator" w:id="0">
    <w:p w14:paraId="1561269B" w14:textId="77777777" w:rsidR="003A51A2" w:rsidRDefault="003A5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Ericsson Capital TT">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SimSun">
    <w:panose1 w:val="02010600030101010101"/>
    <w:charset w:val="86"/>
    <w:family w:val="auto"/>
    <w:pitch w:val="variable"/>
    <w:sig w:usb0="00000003" w:usb1="288F0000" w:usb2="00000016" w:usb3="00000000" w:csb0="00040001" w:csb1="00000000"/>
  </w:font>
  <w:font w:name="等线">
    <w:charset w:val="86"/>
    <w:family w:val="auto"/>
    <w:pitch w:val="variable"/>
    <w:sig w:usb0="A00002BF" w:usb1="38CF7CFA" w:usb2="00000016" w:usb3="00000000" w:csb0="0004000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A40FC" w14:textId="63336595"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35F2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5F2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6AFC1D" w14:textId="77777777" w:rsidR="003A51A2" w:rsidRDefault="003A51A2">
      <w:r>
        <w:separator/>
      </w:r>
    </w:p>
  </w:footnote>
  <w:footnote w:type="continuationSeparator" w:id="0">
    <w:p w14:paraId="59CBA167" w14:textId="77777777" w:rsidR="003A51A2" w:rsidRDefault="003A51A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B509CF"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CF9C1EA2"/>
    <w:lvl w:ilvl="0">
      <w:start w:val="1"/>
      <w:numFmt w:val="decimal"/>
      <w:lvlText w:val="%1."/>
      <w:lvlJc w:val="left"/>
      <w:pPr>
        <w:tabs>
          <w:tab w:val="num" w:pos="1492"/>
        </w:tabs>
        <w:ind w:left="1492" w:hanging="360"/>
      </w:pPr>
    </w:lvl>
  </w:abstractNum>
  <w:abstractNum w:abstractNumId="2">
    <w:nsid w:val="FFFFFF7D"/>
    <w:multiLevelType w:val="singleLevel"/>
    <w:tmpl w:val="A0788982"/>
    <w:lvl w:ilvl="0">
      <w:start w:val="1"/>
      <w:numFmt w:val="decimal"/>
      <w:lvlText w:val="%1."/>
      <w:lvlJc w:val="left"/>
      <w:pPr>
        <w:tabs>
          <w:tab w:val="num" w:pos="1209"/>
        </w:tabs>
        <w:ind w:left="1209" w:hanging="360"/>
      </w:pPr>
    </w:lvl>
  </w:abstractNum>
  <w:abstractNum w:abstractNumId="3">
    <w:nsid w:val="FFFFFF7E"/>
    <w:multiLevelType w:val="singleLevel"/>
    <w:tmpl w:val="C63ECEA2"/>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5484100"/>
    <w:multiLevelType w:val="hybridMultilevel"/>
    <w:tmpl w:val="BB24EA0C"/>
    <w:lvl w:ilvl="0" w:tplc="F27AE5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7">
    <w:nsid w:val="22A43072"/>
    <w:multiLevelType w:val="hybridMultilevel"/>
    <w:tmpl w:val="E9A4C57A"/>
    <w:lvl w:ilvl="0" w:tplc="F27AE5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5E002AB"/>
    <w:multiLevelType w:val="hybridMultilevel"/>
    <w:tmpl w:val="EC2C0588"/>
    <w:lvl w:ilvl="0" w:tplc="F27AE5D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3E480783"/>
    <w:multiLevelType w:val="hybridMultilevel"/>
    <w:tmpl w:val="CB3EAF00"/>
    <w:lvl w:ilvl="0" w:tplc="39BEA0B4">
      <w:start w:val="1"/>
      <w:numFmt w:val="bullet"/>
      <w:lvlText w:val="›"/>
      <w:lvlJc w:val="left"/>
      <w:pPr>
        <w:tabs>
          <w:tab w:val="num" w:pos="720"/>
        </w:tabs>
        <w:ind w:left="720" w:hanging="360"/>
      </w:pPr>
      <w:rPr>
        <w:rFonts w:ascii="Arial" w:hAnsi="Arial" w:hint="default"/>
      </w:rPr>
    </w:lvl>
    <w:lvl w:ilvl="1" w:tplc="9A424A78">
      <w:numFmt w:val="bullet"/>
      <w:lvlText w:val="–"/>
      <w:lvlJc w:val="left"/>
      <w:pPr>
        <w:tabs>
          <w:tab w:val="num" w:pos="1440"/>
        </w:tabs>
        <w:ind w:left="1440" w:hanging="360"/>
      </w:pPr>
      <w:rPr>
        <w:rFonts w:ascii="Ericsson Capital TT" w:hAnsi="Ericsson Capital TT" w:hint="default"/>
      </w:rPr>
    </w:lvl>
    <w:lvl w:ilvl="2" w:tplc="2B6ACD22" w:tentative="1">
      <w:start w:val="1"/>
      <w:numFmt w:val="bullet"/>
      <w:lvlText w:val="›"/>
      <w:lvlJc w:val="left"/>
      <w:pPr>
        <w:tabs>
          <w:tab w:val="num" w:pos="2160"/>
        </w:tabs>
        <w:ind w:left="2160" w:hanging="360"/>
      </w:pPr>
      <w:rPr>
        <w:rFonts w:ascii="Arial" w:hAnsi="Arial" w:hint="default"/>
      </w:rPr>
    </w:lvl>
    <w:lvl w:ilvl="3" w:tplc="44A49EA2" w:tentative="1">
      <w:start w:val="1"/>
      <w:numFmt w:val="bullet"/>
      <w:lvlText w:val="›"/>
      <w:lvlJc w:val="left"/>
      <w:pPr>
        <w:tabs>
          <w:tab w:val="num" w:pos="2880"/>
        </w:tabs>
        <w:ind w:left="2880" w:hanging="360"/>
      </w:pPr>
      <w:rPr>
        <w:rFonts w:ascii="Arial" w:hAnsi="Arial" w:hint="default"/>
      </w:rPr>
    </w:lvl>
    <w:lvl w:ilvl="4" w:tplc="27D0A4DE" w:tentative="1">
      <w:start w:val="1"/>
      <w:numFmt w:val="bullet"/>
      <w:lvlText w:val="›"/>
      <w:lvlJc w:val="left"/>
      <w:pPr>
        <w:tabs>
          <w:tab w:val="num" w:pos="3600"/>
        </w:tabs>
        <w:ind w:left="3600" w:hanging="360"/>
      </w:pPr>
      <w:rPr>
        <w:rFonts w:ascii="Arial" w:hAnsi="Arial" w:hint="default"/>
      </w:rPr>
    </w:lvl>
    <w:lvl w:ilvl="5" w:tplc="703AC054" w:tentative="1">
      <w:start w:val="1"/>
      <w:numFmt w:val="bullet"/>
      <w:lvlText w:val="›"/>
      <w:lvlJc w:val="left"/>
      <w:pPr>
        <w:tabs>
          <w:tab w:val="num" w:pos="4320"/>
        </w:tabs>
        <w:ind w:left="4320" w:hanging="360"/>
      </w:pPr>
      <w:rPr>
        <w:rFonts w:ascii="Arial" w:hAnsi="Arial" w:hint="default"/>
      </w:rPr>
    </w:lvl>
    <w:lvl w:ilvl="6" w:tplc="F1C01284" w:tentative="1">
      <w:start w:val="1"/>
      <w:numFmt w:val="bullet"/>
      <w:lvlText w:val="›"/>
      <w:lvlJc w:val="left"/>
      <w:pPr>
        <w:tabs>
          <w:tab w:val="num" w:pos="5040"/>
        </w:tabs>
        <w:ind w:left="5040" w:hanging="360"/>
      </w:pPr>
      <w:rPr>
        <w:rFonts w:ascii="Arial" w:hAnsi="Arial" w:hint="default"/>
      </w:rPr>
    </w:lvl>
    <w:lvl w:ilvl="7" w:tplc="92265B34" w:tentative="1">
      <w:start w:val="1"/>
      <w:numFmt w:val="bullet"/>
      <w:lvlText w:val="›"/>
      <w:lvlJc w:val="left"/>
      <w:pPr>
        <w:tabs>
          <w:tab w:val="num" w:pos="5760"/>
        </w:tabs>
        <w:ind w:left="5760" w:hanging="360"/>
      </w:pPr>
      <w:rPr>
        <w:rFonts w:ascii="Arial" w:hAnsi="Arial" w:hint="default"/>
      </w:rPr>
    </w:lvl>
    <w:lvl w:ilvl="8" w:tplc="36FA7C7A" w:tentative="1">
      <w:start w:val="1"/>
      <w:numFmt w:val="bullet"/>
      <w:lvlText w:val="›"/>
      <w:lvlJc w:val="left"/>
      <w:pPr>
        <w:tabs>
          <w:tab w:val="num" w:pos="6480"/>
        </w:tabs>
        <w:ind w:left="6480" w:hanging="360"/>
      </w:pPr>
      <w:rPr>
        <w:rFonts w:ascii="Arial" w:hAnsi="Arial" w:hint="default"/>
      </w:rPr>
    </w:lvl>
  </w:abstractNum>
  <w:abstractNum w:abstractNumId="15">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01C1720"/>
    <w:multiLevelType w:val="hybridMultilevel"/>
    <w:tmpl w:val="D72063A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5B1A71"/>
    <w:multiLevelType w:val="hybridMultilevel"/>
    <w:tmpl w:val="3C447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37905B0"/>
    <w:multiLevelType w:val="hybridMultilevel"/>
    <w:tmpl w:val="CA825B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0BD6363"/>
    <w:multiLevelType w:val="hybridMultilevel"/>
    <w:tmpl w:val="5630F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2"/>
  </w:num>
  <w:num w:numId="4">
    <w:abstractNumId w:val="13"/>
  </w:num>
  <w:num w:numId="5">
    <w:abstractNumId w:val="9"/>
  </w:num>
  <w:num w:numId="6">
    <w:abstractNumId w:val="15"/>
  </w:num>
  <w:num w:numId="7">
    <w:abstractNumId w:val="21"/>
  </w:num>
  <w:num w:numId="8">
    <w:abstractNumId w:val="10"/>
  </w:num>
  <w:num w:numId="9">
    <w:abstractNumId w:val="8"/>
  </w:num>
  <w:num w:numId="10">
    <w:abstractNumId w:val="3"/>
  </w:num>
  <w:num w:numId="11">
    <w:abstractNumId w:val="2"/>
  </w:num>
  <w:num w:numId="12">
    <w:abstractNumId w:val="1"/>
  </w:num>
  <w:num w:numId="13">
    <w:abstractNumId w:val="18"/>
  </w:num>
  <w:num w:numId="14">
    <w:abstractNumId w:val="0"/>
  </w:num>
  <w:num w:numId="15">
    <w:abstractNumId w:val="20"/>
  </w:num>
  <w:num w:numId="16">
    <w:abstractNumId w:val="6"/>
  </w:num>
  <w:num w:numId="17">
    <w:abstractNumId w:val="7"/>
  </w:num>
  <w:num w:numId="18">
    <w:abstractNumId w:val="5"/>
  </w:num>
  <w:num w:numId="19">
    <w:abstractNumId w:val="11"/>
  </w:num>
  <w:num w:numId="20">
    <w:abstractNumId w:val="14"/>
  </w:num>
  <w:num w:numId="21">
    <w:abstractNumId w:val="19"/>
  </w:num>
  <w:num w:numId="22">
    <w:abstractNumId w:val="16"/>
  </w:num>
  <w:num w:numId="23">
    <w:abstractNumId w:val="22"/>
  </w:num>
  <w:num w:numId="2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39F4"/>
    <w:rsid w:val="00006446"/>
    <w:rsid w:val="00006896"/>
    <w:rsid w:val="000078A2"/>
    <w:rsid w:val="00007CDC"/>
    <w:rsid w:val="00011B28"/>
    <w:rsid w:val="00015D15"/>
    <w:rsid w:val="000221E9"/>
    <w:rsid w:val="0002564D"/>
    <w:rsid w:val="00025ECA"/>
    <w:rsid w:val="000325B8"/>
    <w:rsid w:val="00034C15"/>
    <w:rsid w:val="00036BA1"/>
    <w:rsid w:val="000422E2"/>
    <w:rsid w:val="00042F22"/>
    <w:rsid w:val="000444EF"/>
    <w:rsid w:val="000517D2"/>
    <w:rsid w:val="00052A07"/>
    <w:rsid w:val="000534E3"/>
    <w:rsid w:val="0005596E"/>
    <w:rsid w:val="0005606A"/>
    <w:rsid w:val="00057117"/>
    <w:rsid w:val="000609B2"/>
    <w:rsid w:val="000616E7"/>
    <w:rsid w:val="0006487E"/>
    <w:rsid w:val="00065E1A"/>
    <w:rsid w:val="0006620A"/>
    <w:rsid w:val="00077E5F"/>
    <w:rsid w:val="0008036A"/>
    <w:rsid w:val="00081AE6"/>
    <w:rsid w:val="000855EB"/>
    <w:rsid w:val="00085B52"/>
    <w:rsid w:val="000866F2"/>
    <w:rsid w:val="0009009F"/>
    <w:rsid w:val="00090517"/>
    <w:rsid w:val="00091557"/>
    <w:rsid w:val="000924C1"/>
    <w:rsid w:val="000924F0"/>
    <w:rsid w:val="00093474"/>
    <w:rsid w:val="0009510F"/>
    <w:rsid w:val="000A0FAE"/>
    <w:rsid w:val="000A1B7B"/>
    <w:rsid w:val="000A56F2"/>
    <w:rsid w:val="000A7D25"/>
    <w:rsid w:val="000B2719"/>
    <w:rsid w:val="000B3A8F"/>
    <w:rsid w:val="000B4AB9"/>
    <w:rsid w:val="000B58C3"/>
    <w:rsid w:val="000B61E9"/>
    <w:rsid w:val="000C165A"/>
    <w:rsid w:val="000C2E19"/>
    <w:rsid w:val="000D0D07"/>
    <w:rsid w:val="000D4797"/>
    <w:rsid w:val="000E0527"/>
    <w:rsid w:val="000E1E92"/>
    <w:rsid w:val="000E7D3E"/>
    <w:rsid w:val="000F06D6"/>
    <w:rsid w:val="000F0EB1"/>
    <w:rsid w:val="000F1106"/>
    <w:rsid w:val="000F3BE9"/>
    <w:rsid w:val="000F3F6C"/>
    <w:rsid w:val="000F6DF3"/>
    <w:rsid w:val="001005FF"/>
    <w:rsid w:val="001062FB"/>
    <w:rsid w:val="0010631D"/>
    <w:rsid w:val="001063E6"/>
    <w:rsid w:val="00113CF4"/>
    <w:rsid w:val="00114C9D"/>
    <w:rsid w:val="001153EA"/>
    <w:rsid w:val="00115643"/>
    <w:rsid w:val="00116765"/>
    <w:rsid w:val="001219F5"/>
    <w:rsid w:val="00121A20"/>
    <w:rsid w:val="0012377F"/>
    <w:rsid w:val="00124314"/>
    <w:rsid w:val="00126B4A"/>
    <w:rsid w:val="00130BB8"/>
    <w:rsid w:val="00132FD0"/>
    <w:rsid w:val="001344C0"/>
    <w:rsid w:val="001346FA"/>
    <w:rsid w:val="00135252"/>
    <w:rsid w:val="00137AB5"/>
    <w:rsid w:val="00137F0B"/>
    <w:rsid w:val="00141251"/>
    <w:rsid w:val="00151E23"/>
    <w:rsid w:val="001526E0"/>
    <w:rsid w:val="001551B5"/>
    <w:rsid w:val="0016001F"/>
    <w:rsid w:val="001659C1"/>
    <w:rsid w:val="00167416"/>
    <w:rsid w:val="0016779C"/>
    <w:rsid w:val="00173A8E"/>
    <w:rsid w:val="00177795"/>
    <w:rsid w:val="0018143F"/>
    <w:rsid w:val="00185256"/>
    <w:rsid w:val="00190AC1"/>
    <w:rsid w:val="0019341A"/>
    <w:rsid w:val="00197DF9"/>
    <w:rsid w:val="001A174E"/>
    <w:rsid w:val="001A1987"/>
    <w:rsid w:val="001A2564"/>
    <w:rsid w:val="001A6173"/>
    <w:rsid w:val="001A6CBA"/>
    <w:rsid w:val="001B0D97"/>
    <w:rsid w:val="001B317A"/>
    <w:rsid w:val="001B4627"/>
    <w:rsid w:val="001B5A5D"/>
    <w:rsid w:val="001C1552"/>
    <w:rsid w:val="001C1CE5"/>
    <w:rsid w:val="001C3D2A"/>
    <w:rsid w:val="001C62CF"/>
    <w:rsid w:val="001D51BA"/>
    <w:rsid w:val="001D6342"/>
    <w:rsid w:val="001D6D53"/>
    <w:rsid w:val="001E58E2"/>
    <w:rsid w:val="001E7AED"/>
    <w:rsid w:val="001F3916"/>
    <w:rsid w:val="001F54C5"/>
    <w:rsid w:val="001F662C"/>
    <w:rsid w:val="001F7074"/>
    <w:rsid w:val="00200490"/>
    <w:rsid w:val="00201F3A"/>
    <w:rsid w:val="0020341C"/>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4B71"/>
    <w:rsid w:val="002458EB"/>
    <w:rsid w:val="00246DBF"/>
    <w:rsid w:val="002500C8"/>
    <w:rsid w:val="00257543"/>
    <w:rsid w:val="002617E7"/>
    <w:rsid w:val="00264103"/>
    <w:rsid w:val="00264228"/>
    <w:rsid w:val="00264334"/>
    <w:rsid w:val="0026473E"/>
    <w:rsid w:val="00266214"/>
    <w:rsid w:val="00267C83"/>
    <w:rsid w:val="0027144F"/>
    <w:rsid w:val="00271F3A"/>
    <w:rsid w:val="00273278"/>
    <w:rsid w:val="002737F4"/>
    <w:rsid w:val="002805F5"/>
    <w:rsid w:val="00280751"/>
    <w:rsid w:val="0028280A"/>
    <w:rsid w:val="00283973"/>
    <w:rsid w:val="00286ACD"/>
    <w:rsid w:val="00287838"/>
    <w:rsid w:val="002907B5"/>
    <w:rsid w:val="002912EB"/>
    <w:rsid w:val="00292EB7"/>
    <w:rsid w:val="00296227"/>
    <w:rsid w:val="00296F44"/>
    <w:rsid w:val="0029777D"/>
    <w:rsid w:val="002A055E"/>
    <w:rsid w:val="002A1D4E"/>
    <w:rsid w:val="002A2869"/>
    <w:rsid w:val="002A3F8E"/>
    <w:rsid w:val="002B18DE"/>
    <w:rsid w:val="002B1E11"/>
    <w:rsid w:val="002B24D6"/>
    <w:rsid w:val="002B6AF1"/>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34F"/>
    <w:rsid w:val="00336BDA"/>
    <w:rsid w:val="00337187"/>
    <w:rsid w:val="00342BD7"/>
    <w:rsid w:val="00343A07"/>
    <w:rsid w:val="00346DB5"/>
    <w:rsid w:val="003477B1"/>
    <w:rsid w:val="00357380"/>
    <w:rsid w:val="003602D9"/>
    <w:rsid w:val="003604CE"/>
    <w:rsid w:val="00370E47"/>
    <w:rsid w:val="003742AC"/>
    <w:rsid w:val="00377CE1"/>
    <w:rsid w:val="00383C7C"/>
    <w:rsid w:val="00385BF0"/>
    <w:rsid w:val="003939FF"/>
    <w:rsid w:val="003A2223"/>
    <w:rsid w:val="003A2A0F"/>
    <w:rsid w:val="003A45A1"/>
    <w:rsid w:val="003A51A2"/>
    <w:rsid w:val="003A5B0A"/>
    <w:rsid w:val="003A6BAC"/>
    <w:rsid w:val="003A7E14"/>
    <w:rsid w:val="003A7EF3"/>
    <w:rsid w:val="003B159C"/>
    <w:rsid w:val="003B369F"/>
    <w:rsid w:val="003B36A3"/>
    <w:rsid w:val="003B7FE5"/>
    <w:rsid w:val="003C11C8"/>
    <w:rsid w:val="003C2702"/>
    <w:rsid w:val="003C7806"/>
    <w:rsid w:val="003D109F"/>
    <w:rsid w:val="003D2478"/>
    <w:rsid w:val="003D3C45"/>
    <w:rsid w:val="003D5B1F"/>
    <w:rsid w:val="003E15FA"/>
    <w:rsid w:val="003E2E7F"/>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7DD9"/>
    <w:rsid w:val="00421105"/>
    <w:rsid w:val="004242F4"/>
    <w:rsid w:val="00427248"/>
    <w:rsid w:val="00437447"/>
    <w:rsid w:val="00441A92"/>
    <w:rsid w:val="00442C99"/>
    <w:rsid w:val="00443F5C"/>
    <w:rsid w:val="00444F56"/>
    <w:rsid w:val="00446488"/>
    <w:rsid w:val="004517AA"/>
    <w:rsid w:val="00452CAC"/>
    <w:rsid w:val="004558D0"/>
    <w:rsid w:val="00457565"/>
    <w:rsid w:val="00457B71"/>
    <w:rsid w:val="004669E2"/>
    <w:rsid w:val="00470C31"/>
    <w:rsid w:val="004734D0"/>
    <w:rsid w:val="0047556B"/>
    <w:rsid w:val="00477768"/>
    <w:rsid w:val="00486639"/>
    <w:rsid w:val="00492BC5"/>
    <w:rsid w:val="004964F1"/>
    <w:rsid w:val="004A16BC"/>
    <w:rsid w:val="004A2B94"/>
    <w:rsid w:val="004A7B78"/>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0BF8"/>
    <w:rsid w:val="00521323"/>
    <w:rsid w:val="005219CF"/>
    <w:rsid w:val="00534B59"/>
    <w:rsid w:val="00536759"/>
    <w:rsid w:val="00537C62"/>
    <w:rsid w:val="00546970"/>
    <w:rsid w:val="00554C52"/>
    <w:rsid w:val="00554E19"/>
    <w:rsid w:val="0056121F"/>
    <w:rsid w:val="005616E1"/>
    <w:rsid w:val="00562C28"/>
    <w:rsid w:val="00570FDC"/>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388"/>
    <w:rsid w:val="005F618C"/>
    <w:rsid w:val="005F70BD"/>
    <w:rsid w:val="0060283C"/>
    <w:rsid w:val="00604F14"/>
    <w:rsid w:val="00611B83"/>
    <w:rsid w:val="00613257"/>
    <w:rsid w:val="00614249"/>
    <w:rsid w:val="00617121"/>
    <w:rsid w:val="00620A71"/>
    <w:rsid w:val="00620D80"/>
    <w:rsid w:val="00622DE4"/>
    <w:rsid w:val="006234A6"/>
    <w:rsid w:val="00630001"/>
    <w:rsid w:val="006311B3"/>
    <w:rsid w:val="00631B46"/>
    <w:rsid w:val="0063284C"/>
    <w:rsid w:val="00633D78"/>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0EC4"/>
    <w:rsid w:val="006613A6"/>
    <w:rsid w:val="00662260"/>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889"/>
    <w:rsid w:val="006A7AFF"/>
    <w:rsid w:val="006B1816"/>
    <w:rsid w:val="006B2099"/>
    <w:rsid w:val="006B25A2"/>
    <w:rsid w:val="006B50CF"/>
    <w:rsid w:val="006C03B8"/>
    <w:rsid w:val="006C5EC9"/>
    <w:rsid w:val="006C6059"/>
    <w:rsid w:val="006C68CB"/>
    <w:rsid w:val="006C73B2"/>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1735F"/>
    <w:rsid w:val="007258AF"/>
    <w:rsid w:val="00726EA6"/>
    <w:rsid w:val="00727208"/>
    <w:rsid w:val="00727680"/>
    <w:rsid w:val="007348B1"/>
    <w:rsid w:val="007362A6"/>
    <w:rsid w:val="00736D7D"/>
    <w:rsid w:val="00740E58"/>
    <w:rsid w:val="007445A0"/>
    <w:rsid w:val="0074524B"/>
    <w:rsid w:val="0074640F"/>
    <w:rsid w:val="00747D8B"/>
    <w:rsid w:val="00751228"/>
    <w:rsid w:val="00756487"/>
    <w:rsid w:val="007571E1"/>
    <w:rsid w:val="007604B2"/>
    <w:rsid w:val="007605BA"/>
    <w:rsid w:val="00762956"/>
    <w:rsid w:val="00764656"/>
    <w:rsid w:val="00765281"/>
    <w:rsid w:val="00765D87"/>
    <w:rsid w:val="00766BAD"/>
    <w:rsid w:val="007730BD"/>
    <w:rsid w:val="007755F2"/>
    <w:rsid w:val="00776971"/>
    <w:rsid w:val="0078177E"/>
    <w:rsid w:val="0078304C"/>
    <w:rsid w:val="00783673"/>
    <w:rsid w:val="00785490"/>
    <w:rsid w:val="00785542"/>
    <w:rsid w:val="007925EA"/>
    <w:rsid w:val="00793CD8"/>
    <w:rsid w:val="00795C92"/>
    <w:rsid w:val="00796231"/>
    <w:rsid w:val="007A1CB3"/>
    <w:rsid w:val="007A306F"/>
    <w:rsid w:val="007A43A6"/>
    <w:rsid w:val="007A58A6"/>
    <w:rsid w:val="007B3D2D"/>
    <w:rsid w:val="007B50AE"/>
    <w:rsid w:val="007B51DF"/>
    <w:rsid w:val="007B579E"/>
    <w:rsid w:val="007C05DD"/>
    <w:rsid w:val="007C0B91"/>
    <w:rsid w:val="007C3D18"/>
    <w:rsid w:val="007C605F"/>
    <w:rsid w:val="007C60BF"/>
    <w:rsid w:val="007C6A07"/>
    <w:rsid w:val="007C6B2F"/>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57889"/>
    <w:rsid w:val="0086034B"/>
    <w:rsid w:val="008677FD"/>
    <w:rsid w:val="008706D4"/>
    <w:rsid w:val="00870F8A"/>
    <w:rsid w:val="008719A4"/>
    <w:rsid w:val="00871D23"/>
    <w:rsid w:val="00874312"/>
    <w:rsid w:val="0087437C"/>
    <w:rsid w:val="00875CD7"/>
    <w:rsid w:val="00876B4D"/>
    <w:rsid w:val="00877F18"/>
    <w:rsid w:val="00893C46"/>
    <w:rsid w:val="00894A88"/>
    <w:rsid w:val="00895386"/>
    <w:rsid w:val="008A21FF"/>
    <w:rsid w:val="008A2CE2"/>
    <w:rsid w:val="008A30AC"/>
    <w:rsid w:val="008A44B8"/>
    <w:rsid w:val="008A51A8"/>
    <w:rsid w:val="008A54C7"/>
    <w:rsid w:val="008A77D8"/>
    <w:rsid w:val="008B0483"/>
    <w:rsid w:val="008B0586"/>
    <w:rsid w:val="008B120C"/>
    <w:rsid w:val="008B51A0"/>
    <w:rsid w:val="008B592A"/>
    <w:rsid w:val="008B7B5C"/>
    <w:rsid w:val="008C0C99"/>
    <w:rsid w:val="008C2017"/>
    <w:rsid w:val="008C4958"/>
    <w:rsid w:val="008C4BAA"/>
    <w:rsid w:val="008C6AE8"/>
    <w:rsid w:val="008C7573"/>
    <w:rsid w:val="008D1C49"/>
    <w:rsid w:val="008D34F1"/>
    <w:rsid w:val="008D39D8"/>
    <w:rsid w:val="008D6D1A"/>
    <w:rsid w:val="008E065E"/>
    <w:rsid w:val="008E0927"/>
    <w:rsid w:val="008E1909"/>
    <w:rsid w:val="008E547E"/>
    <w:rsid w:val="008F1EAB"/>
    <w:rsid w:val="008F33DC"/>
    <w:rsid w:val="008F477F"/>
    <w:rsid w:val="008F5596"/>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4248"/>
    <w:rsid w:val="0093654A"/>
    <w:rsid w:val="009368F3"/>
    <w:rsid w:val="009405AD"/>
    <w:rsid w:val="00941636"/>
    <w:rsid w:val="00943742"/>
    <w:rsid w:val="00945C05"/>
    <w:rsid w:val="00946945"/>
    <w:rsid w:val="00947713"/>
    <w:rsid w:val="00950DE7"/>
    <w:rsid w:val="00953920"/>
    <w:rsid w:val="00953D47"/>
    <w:rsid w:val="00954026"/>
    <w:rsid w:val="0095681E"/>
    <w:rsid w:val="009572D4"/>
    <w:rsid w:val="00961921"/>
    <w:rsid w:val="0096430A"/>
    <w:rsid w:val="009644F2"/>
    <w:rsid w:val="0096554B"/>
    <w:rsid w:val="009657CF"/>
    <w:rsid w:val="0096584A"/>
    <w:rsid w:val="00965E4B"/>
    <w:rsid w:val="0097091E"/>
    <w:rsid w:val="00971F08"/>
    <w:rsid w:val="0097603D"/>
    <w:rsid w:val="00976949"/>
    <w:rsid w:val="00980477"/>
    <w:rsid w:val="0098155C"/>
    <w:rsid w:val="00981627"/>
    <w:rsid w:val="00985253"/>
    <w:rsid w:val="009853B3"/>
    <w:rsid w:val="00986619"/>
    <w:rsid w:val="00990630"/>
    <w:rsid w:val="00991761"/>
    <w:rsid w:val="00994DCA"/>
    <w:rsid w:val="009960EC"/>
    <w:rsid w:val="009970DD"/>
    <w:rsid w:val="0099762F"/>
    <w:rsid w:val="009A0FBA"/>
    <w:rsid w:val="009A1601"/>
    <w:rsid w:val="009A462D"/>
    <w:rsid w:val="009A5CBA"/>
    <w:rsid w:val="009B1F30"/>
    <w:rsid w:val="009B3AC2"/>
    <w:rsid w:val="009B4DF4"/>
    <w:rsid w:val="009B564E"/>
    <w:rsid w:val="009B7E87"/>
    <w:rsid w:val="009C403E"/>
    <w:rsid w:val="009C527B"/>
    <w:rsid w:val="009C573A"/>
    <w:rsid w:val="009D4FF0"/>
    <w:rsid w:val="009D703C"/>
    <w:rsid w:val="009D718F"/>
    <w:rsid w:val="009E068F"/>
    <w:rsid w:val="009E14E0"/>
    <w:rsid w:val="009E35DB"/>
    <w:rsid w:val="009E47A3"/>
    <w:rsid w:val="009F08F3"/>
    <w:rsid w:val="009F344F"/>
    <w:rsid w:val="00A048A8"/>
    <w:rsid w:val="00A04F49"/>
    <w:rsid w:val="00A12236"/>
    <w:rsid w:val="00A1268A"/>
    <w:rsid w:val="00A13E54"/>
    <w:rsid w:val="00A17F63"/>
    <w:rsid w:val="00A2193B"/>
    <w:rsid w:val="00A2351A"/>
    <w:rsid w:val="00A264A9"/>
    <w:rsid w:val="00A27785"/>
    <w:rsid w:val="00A27ADA"/>
    <w:rsid w:val="00A30187"/>
    <w:rsid w:val="00A3448A"/>
    <w:rsid w:val="00A36297"/>
    <w:rsid w:val="00A41E2B"/>
    <w:rsid w:val="00A45B74"/>
    <w:rsid w:val="00A52E1D"/>
    <w:rsid w:val="00A61499"/>
    <w:rsid w:val="00A62A77"/>
    <w:rsid w:val="00A63483"/>
    <w:rsid w:val="00A657D7"/>
    <w:rsid w:val="00A660AC"/>
    <w:rsid w:val="00A677EB"/>
    <w:rsid w:val="00A67E6C"/>
    <w:rsid w:val="00A71B99"/>
    <w:rsid w:val="00A739D0"/>
    <w:rsid w:val="00A75048"/>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4D0A"/>
    <w:rsid w:val="00AC5A10"/>
    <w:rsid w:val="00AD0AA3"/>
    <w:rsid w:val="00AD0EDB"/>
    <w:rsid w:val="00AD3F94"/>
    <w:rsid w:val="00AD4A5A"/>
    <w:rsid w:val="00AE27AC"/>
    <w:rsid w:val="00AE3743"/>
    <w:rsid w:val="00AE40E0"/>
    <w:rsid w:val="00AE4DBA"/>
    <w:rsid w:val="00AE4F07"/>
    <w:rsid w:val="00AE683A"/>
    <w:rsid w:val="00AE7BC9"/>
    <w:rsid w:val="00AF1C5D"/>
    <w:rsid w:val="00AF42D7"/>
    <w:rsid w:val="00AF4570"/>
    <w:rsid w:val="00B006FE"/>
    <w:rsid w:val="00B007CB"/>
    <w:rsid w:val="00B02AA9"/>
    <w:rsid w:val="00B02FA3"/>
    <w:rsid w:val="00B05084"/>
    <w:rsid w:val="00B157F9"/>
    <w:rsid w:val="00B20256"/>
    <w:rsid w:val="00B20D09"/>
    <w:rsid w:val="00B241B7"/>
    <w:rsid w:val="00B2763F"/>
    <w:rsid w:val="00B27AAC"/>
    <w:rsid w:val="00B30929"/>
    <w:rsid w:val="00B372AA"/>
    <w:rsid w:val="00B37EA3"/>
    <w:rsid w:val="00B40445"/>
    <w:rsid w:val="00B41888"/>
    <w:rsid w:val="00B45A52"/>
    <w:rsid w:val="00B46175"/>
    <w:rsid w:val="00B6188F"/>
    <w:rsid w:val="00B664C7"/>
    <w:rsid w:val="00B739F6"/>
    <w:rsid w:val="00B81A6C"/>
    <w:rsid w:val="00B85C4B"/>
    <w:rsid w:val="00B85DE5"/>
    <w:rsid w:val="00B879D8"/>
    <w:rsid w:val="00B90F73"/>
    <w:rsid w:val="00B93B59"/>
    <w:rsid w:val="00B9406A"/>
    <w:rsid w:val="00BA2280"/>
    <w:rsid w:val="00BA2A08"/>
    <w:rsid w:val="00BA56D2"/>
    <w:rsid w:val="00BA62F6"/>
    <w:rsid w:val="00BA76E0"/>
    <w:rsid w:val="00BB2A25"/>
    <w:rsid w:val="00BB51E9"/>
    <w:rsid w:val="00BC0FDC"/>
    <w:rsid w:val="00BC3053"/>
    <w:rsid w:val="00BC42F2"/>
    <w:rsid w:val="00BC4D2E"/>
    <w:rsid w:val="00BD48AC"/>
    <w:rsid w:val="00BD5F1A"/>
    <w:rsid w:val="00BD6FEC"/>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6ED4"/>
    <w:rsid w:val="00C279B5"/>
    <w:rsid w:val="00C27C42"/>
    <w:rsid w:val="00C27C45"/>
    <w:rsid w:val="00C35F26"/>
    <w:rsid w:val="00C3719D"/>
    <w:rsid w:val="00C54995"/>
    <w:rsid w:val="00C54D41"/>
    <w:rsid w:val="00C60783"/>
    <w:rsid w:val="00C609FC"/>
    <w:rsid w:val="00C61A14"/>
    <w:rsid w:val="00C64672"/>
    <w:rsid w:val="00C6752E"/>
    <w:rsid w:val="00C70697"/>
    <w:rsid w:val="00C72EF4"/>
    <w:rsid w:val="00C75D2F"/>
    <w:rsid w:val="00C767BE"/>
    <w:rsid w:val="00C76E3C"/>
    <w:rsid w:val="00C81568"/>
    <w:rsid w:val="00C8546D"/>
    <w:rsid w:val="00C9027A"/>
    <w:rsid w:val="00C9068E"/>
    <w:rsid w:val="00C93C4B"/>
    <w:rsid w:val="00C944AB"/>
    <w:rsid w:val="00C95B40"/>
    <w:rsid w:val="00CA1ED8"/>
    <w:rsid w:val="00CA57D3"/>
    <w:rsid w:val="00CB1F63"/>
    <w:rsid w:val="00CB7170"/>
    <w:rsid w:val="00CC040E"/>
    <w:rsid w:val="00CC111F"/>
    <w:rsid w:val="00CC2011"/>
    <w:rsid w:val="00CC3EA0"/>
    <w:rsid w:val="00CC7B45"/>
    <w:rsid w:val="00CD1188"/>
    <w:rsid w:val="00CD2ED1"/>
    <w:rsid w:val="00CD337B"/>
    <w:rsid w:val="00CE0424"/>
    <w:rsid w:val="00CE088B"/>
    <w:rsid w:val="00CE665E"/>
    <w:rsid w:val="00CE7561"/>
    <w:rsid w:val="00CF002A"/>
    <w:rsid w:val="00CF09F9"/>
    <w:rsid w:val="00CF1354"/>
    <w:rsid w:val="00CF3B1F"/>
    <w:rsid w:val="00CF3BF6"/>
    <w:rsid w:val="00CF625B"/>
    <w:rsid w:val="00CF687E"/>
    <w:rsid w:val="00D0349B"/>
    <w:rsid w:val="00D10249"/>
    <w:rsid w:val="00D115C3"/>
    <w:rsid w:val="00D11897"/>
    <w:rsid w:val="00D13135"/>
    <w:rsid w:val="00D13E4E"/>
    <w:rsid w:val="00D20D11"/>
    <w:rsid w:val="00D239A7"/>
    <w:rsid w:val="00D23F47"/>
    <w:rsid w:val="00D340EF"/>
    <w:rsid w:val="00D36E71"/>
    <w:rsid w:val="00D37D87"/>
    <w:rsid w:val="00D40B33"/>
    <w:rsid w:val="00D4318F"/>
    <w:rsid w:val="00D432B7"/>
    <w:rsid w:val="00D438BF"/>
    <w:rsid w:val="00D440F8"/>
    <w:rsid w:val="00D50F97"/>
    <w:rsid w:val="00D546FF"/>
    <w:rsid w:val="00D55AD5"/>
    <w:rsid w:val="00D576CA"/>
    <w:rsid w:val="00D61AF5"/>
    <w:rsid w:val="00D652B5"/>
    <w:rsid w:val="00D66155"/>
    <w:rsid w:val="00D708B0"/>
    <w:rsid w:val="00D7131B"/>
    <w:rsid w:val="00D77B1D"/>
    <w:rsid w:val="00D8021F"/>
    <w:rsid w:val="00D80383"/>
    <w:rsid w:val="00D823C4"/>
    <w:rsid w:val="00D823C6"/>
    <w:rsid w:val="00D86CA3"/>
    <w:rsid w:val="00D871CE"/>
    <w:rsid w:val="00D87586"/>
    <w:rsid w:val="00D9196D"/>
    <w:rsid w:val="00D92982"/>
    <w:rsid w:val="00DA305E"/>
    <w:rsid w:val="00DA5417"/>
    <w:rsid w:val="00DA56E8"/>
    <w:rsid w:val="00DB0A9F"/>
    <w:rsid w:val="00DB28F3"/>
    <w:rsid w:val="00DB377D"/>
    <w:rsid w:val="00DC2D36"/>
    <w:rsid w:val="00DC53EF"/>
    <w:rsid w:val="00DE5608"/>
    <w:rsid w:val="00DE58D0"/>
    <w:rsid w:val="00DE654F"/>
    <w:rsid w:val="00DF0B6E"/>
    <w:rsid w:val="00DF15E0"/>
    <w:rsid w:val="00DF37A0"/>
    <w:rsid w:val="00E110E7"/>
    <w:rsid w:val="00E11B20"/>
    <w:rsid w:val="00E17FA2"/>
    <w:rsid w:val="00E22330"/>
    <w:rsid w:val="00E27370"/>
    <w:rsid w:val="00E30B5A"/>
    <w:rsid w:val="00E3123D"/>
    <w:rsid w:val="00E31461"/>
    <w:rsid w:val="00E31D43"/>
    <w:rsid w:val="00E32608"/>
    <w:rsid w:val="00E34188"/>
    <w:rsid w:val="00E34B6E"/>
    <w:rsid w:val="00E35559"/>
    <w:rsid w:val="00E3723A"/>
    <w:rsid w:val="00E37860"/>
    <w:rsid w:val="00E446F1"/>
    <w:rsid w:val="00E46886"/>
    <w:rsid w:val="00E47AEF"/>
    <w:rsid w:val="00E52191"/>
    <w:rsid w:val="00E53B75"/>
    <w:rsid w:val="00E54E3B"/>
    <w:rsid w:val="00E57565"/>
    <w:rsid w:val="00E608DC"/>
    <w:rsid w:val="00E63838"/>
    <w:rsid w:val="00E64434"/>
    <w:rsid w:val="00E67C51"/>
    <w:rsid w:val="00E72EFC"/>
    <w:rsid w:val="00E758EC"/>
    <w:rsid w:val="00E8234C"/>
    <w:rsid w:val="00E83AA9"/>
    <w:rsid w:val="00E84377"/>
    <w:rsid w:val="00E85928"/>
    <w:rsid w:val="00E87822"/>
    <w:rsid w:val="00E90395"/>
    <w:rsid w:val="00E90E49"/>
    <w:rsid w:val="00E917F9"/>
    <w:rsid w:val="00E9291C"/>
    <w:rsid w:val="00E93FFE"/>
    <w:rsid w:val="00E94F8A"/>
    <w:rsid w:val="00E96B73"/>
    <w:rsid w:val="00EA2C21"/>
    <w:rsid w:val="00EA7A41"/>
    <w:rsid w:val="00EB077B"/>
    <w:rsid w:val="00EB4EA2"/>
    <w:rsid w:val="00EC27C6"/>
    <w:rsid w:val="00EC4207"/>
    <w:rsid w:val="00EC5653"/>
    <w:rsid w:val="00EC71CE"/>
    <w:rsid w:val="00ED1006"/>
    <w:rsid w:val="00EF18FE"/>
    <w:rsid w:val="00EF5787"/>
    <w:rsid w:val="00EF60D0"/>
    <w:rsid w:val="00F0418F"/>
    <w:rsid w:val="00F0528D"/>
    <w:rsid w:val="00F06C67"/>
    <w:rsid w:val="00F06DFD"/>
    <w:rsid w:val="00F071D1"/>
    <w:rsid w:val="00F07533"/>
    <w:rsid w:val="00F10629"/>
    <w:rsid w:val="00F15FA5"/>
    <w:rsid w:val="00F209B7"/>
    <w:rsid w:val="00F215E8"/>
    <w:rsid w:val="00F2376F"/>
    <w:rsid w:val="00F243D8"/>
    <w:rsid w:val="00F30828"/>
    <w:rsid w:val="00F313D6"/>
    <w:rsid w:val="00F40F0C"/>
    <w:rsid w:val="00F44CF3"/>
    <w:rsid w:val="00F4766C"/>
    <w:rsid w:val="00F507D1"/>
    <w:rsid w:val="00F50D3F"/>
    <w:rsid w:val="00F519CE"/>
    <w:rsid w:val="00F51ADA"/>
    <w:rsid w:val="00F607C5"/>
    <w:rsid w:val="00F60DEA"/>
    <w:rsid w:val="00F6302A"/>
    <w:rsid w:val="00F64C2B"/>
    <w:rsid w:val="00F64E03"/>
    <w:rsid w:val="00F651BE"/>
    <w:rsid w:val="00F67F53"/>
    <w:rsid w:val="00F703BE"/>
    <w:rsid w:val="00F7070B"/>
    <w:rsid w:val="00F71F69"/>
    <w:rsid w:val="00F72B72"/>
    <w:rsid w:val="00F74BB9"/>
    <w:rsid w:val="00F75582"/>
    <w:rsid w:val="00F75FE2"/>
    <w:rsid w:val="00F76EFA"/>
    <w:rsid w:val="00F804BE"/>
    <w:rsid w:val="00F817CE"/>
    <w:rsid w:val="00F82923"/>
    <w:rsid w:val="00F8456C"/>
    <w:rsid w:val="00F859D8"/>
    <w:rsid w:val="00F86215"/>
    <w:rsid w:val="00F868F5"/>
    <w:rsid w:val="00F9056A"/>
    <w:rsid w:val="00F90F8D"/>
    <w:rsid w:val="00F92782"/>
    <w:rsid w:val="00F93AA9"/>
    <w:rsid w:val="00F96985"/>
    <w:rsid w:val="00F97838"/>
    <w:rsid w:val="00FA2A05"/>
    <w:rsid w:val="00FA2BB3"/>
    <w:rsid w:val="00FB4C80"/>
    <w:rsid w:val="00FB6A6A"/>
    <w:rsid w:val="00FC7429"/>
    <w:rsid w:val="00FD00D1"/>
    <w:rsid w:val="00FD07F6"/>
    <w:rsid w:val="00FD17F2"/>
    <w:rsid w:val="00FD1EC8"/>
    <w:rsid w:val="00FD47ED"/>
    <w:rsid w:val="00FD74DB"/>
    <w:rsid w:val="00FD7660"/>
    <w:rsid w:val="00FE0655"/>
    <w:rsid w:val="00FE2365"/>
    <w:rsid w:val="00FE3ED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512BC48"/>
  <w15:docId w15:val="{8F51ACD8-B886-4870-BEAD-3517A6A6D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8437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8437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8437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84377"/>
    <w:pPr>
      <w:numPr>
        <w:ilvl w:val="2"/>
      </w:numPr>
      <w:spacing w:before="120"/>
      <w:outlineLvl w:val="2"/>
    </w:pPr>
    <w:rPr>
      <w:sz w:val="28"/>
      <w:szCs w:val="28"/>
    </w:rPr>
  </w:style>
  <w:style w:type="paragraph" w:styleId="Heading4">
    <w:name w:val="heading 4"/>
    <w:basedOn w:val="Heading3"/>
    <w:next w:val="Normal"/>
    <w:qFormat/>
    <w:rsid w:val="00E84377"/>
    <w:pPr>
      <w:numPr>
        <w:ilvl w:val="3"/>
      </w:numPr>
      <w:outlineLvl w:val="3"/>
    </w:pPr>
    <w:rPr>
      <w:sz w:val="24"/>
      <w:szCs w:val="24"/>
    </w:rPr>
  </w:style>
  <w:style w:type="paragraph" w:styleId="Heading5">
    <w:name w:val="heading 5"/>
    <w:basedOn w:val="Heading4"/>
    <w:next w:val="Normal"/>
    <w:qFormat/>
    <w:rsid w:val="00E84377"/>
    <w:pPr>
      <w:numPr>
        <w:ilvl w:val="4"/>
      </w:numPr>
      <w:outlineLvl w:val="4"/>
    </w:pPr>
    <w:rPr>
      <w:sz w:val="22"/>
      <w:szCs w:val="22"/>
    </w:rPr>
  </w:style>
  <w:style w:type="paragraph" w:styleId="Heading6">
    <w:name w:val="heading 6"/>
    <w:basedOn w:val="Normal"/>
    <w:next w:val="Normal"/>
    <w:qFormat/>
    <w:rsid w:val="00E84377"/>
    <w:pPr>
      <w:keepNext/>
      <w:keepLines/>
      <w:numPr>
        <w:ilvl w:val="5"/>
        <w:numId w:val="1"/>
      </w:numPr>
      <w:spacing w:before="120"/>
      <w:outlineLvl w:val="5"/>
    </w:pPr>
    <w:rPr>
      <w:rFonts w:cs="Arial"/>
    </w:rPr>
  </w:style>
  <w:style w:type="paragraph" w:styleId="Heading7">
    <w:name w:val="heading 7"/>
    <w:basedOn w:val="Normal"/>
    <w:next w:val="Normal"/>
    <w:qFormat/>
    <w:rsid w:val="00E84377"/>
    <w:pPr>
      <w:keepNext/>
      <w:keepLines/>
      <w:numPr>
        <w:ilvl w:val="6"/>
        <w:numId w:val="1"/>
      </w:numPr>
      <w:spacing w:before="120"/>
      <w:outlineLvl w:val="6"/>
    </w:pPr>
    <w:rPr>
      <w:rFonts w:cs="Arial"/>
    </w:rPr>
  </w:style>
  <w:style w:type="paragraph" w:styleId="Heading8">
    <w:name w:val="heading 8"/>
    <w:basedOn w:val="Heading7"/>
    <w:next w:val="Normal"/>
    <w:qFormat/>
    <w:rsid w:val="00E84377"/>
    <w:pPr>
      <w:numPr>
        <w:ilvl w:val="7"/>
      </w:numPr>
      <w:outlineLvl w:val="7"/>
    </w:pPr>
  </w:style>
  <w:style w:type="paragraph" w:styleId="Heading9">
    <w:name w:val="heading 9"/>
    <w:basedOn w:val="Heading8"/>
    <w:next w:val="Normal"/>
    <w:qFormat/>
    <w:rsid w:val="00E8437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377"/>
    <w:pPr>
      <w:spacing w:before="180"/>
      <w:ind w:left="2693" w:hanging="2693"/>
    </w:pPr>
    <w:rPr>
      <w:b w:val="0"/>
      <w:bCs/>
    </w:rPr>
  </w:style>
  <w:style w:type="paragraph" w:styleId="TOC1">
    <w:name w:val="toc 1"/>
    <w:aliases w:val="Observation TOC2"/>
    <w:uiPriority w:val="39"/>
    <w:rsid w:val="00E8437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84377"/>
    <w:pPr>
      <w:keepNext/>
      <w:keepLines/>
      <w:spacing w:before="180"/>
      <w:jc w:val="center"/>
    </w:pPr>
  </w:style>
  <w:style w:type="paragraph" w:styleId="Caption">
    <w:name w:val="caption"/>
    <w:basedOn w:val="Normal"/>
    <w:next w:val="Normal"/>
    <w:qFormat/>
    <w:rsid w:val="00E84377"/>
    <w:pPr>
      <w:spacing w:after="240"/>
      <w:jc w:val="center"/>
    </w:pPr>
    <w:rPr>
      <w:b/>
      <w:bCs/>
    </w:rPr>
  </w:style>
  <w:style w:type="paragraph" w:styleId="TOC5">
    <w:name w:val="toc 5"/>
    <w:aliases w:val="Observation TOC"/>
    <w:basedOn w:val="TOC4"/>
    <w:semiHidden/>
    <w:rsid w:val="00E84377"/>
    <w:pPr>
      <w:tabs>
        <w:tab w:val="right" w:pos="1701"/>
      </w:tabs>
      <w:ind w:left="1701" w:hanging="1701"/>
    </w:pPr>
  </w:style>
  <w:style w:type="paragraph" w:styleId="TOC4">
    <w:name w:val="toc 4"/>
    <w:basedOn w:val="TOC3"/>
    <w:semiHidden/>
    <w:rsid w:val="00E84377"/>
    <w:pPr>
      <w:ind w:left="1418" w:hanging="1418"/>
    </w:pPr>
  </w:style>
  <w:style w:type="paragraph" w:styleId="TOC3">
    <w:name w:val="toc 3"/>
    <w:basedOn w:val="TOC2"/>
    <w:semiHidden/>
    <w:rsid w:val="00E84377"/>
    <w:pPr>
      <w:ind w:left="1134" w:hanging="1134"/>
    </w:pPr>
  </w:style>
  <w:style w:type="paragraph" w:styleId="TOC2">
    <w:name w:val="toc 2"/>
    <w:basedOn w:val="TOC1"/>
    <w:semiHidden/>
    <w:rsid w:val="00E84377"/>
    <w:pPr>
      <w:keepNext w:val="0"/>
      <w:spacing w:before="0"/>
      <w:ind w:left="851" w:hanging="851"/>
    </w:pPr>
    <w:rPr>
      <w:szCs w:val="20"/>
    </w:rPr>
  </w:style>
  <w:style w:type="paragraph" w:styleId="Index2">
    <w:name w:val="index 2"/>
    <w:basedOn w:val="Index1"/>
    <w:semiHidden/>
    <w:rsid w:val="00E84377"/>
    <w:pPr>
      <w:ind w:left="284"/>
    </w:pPr>
  </w:style>
  <w:style w:type="paragraph" w:styleId="Index1">
    <w:name w:val="index 1"/>
    <w:basedOn w:val="Normal"/>
    <w:semiHidden/>
    <w:rsid w:val="00E84377"/>
    <w:pPr>
      <w:keepLines/>
      <w:spacing w:after="0"/>
    </w:pPr>
  </w:style>
  <w:style w:type="paragraph" w:styleId="DocumentMap">
    <w:name w:val="Document Map"/>
    <w:basedOn w:val="Normal"/>
    <w:semiHidden/>
    <w:rsid w:val="00E84377"/>
    <w:pPr>
      <w:shd w:val="clear" w:color="auto" w:fill="000080"/>
    </w:pPr>
    <w:rPr>
      <w:rFonts w:ascii="Tahoma" w:hAnsi="Tahoma" w:cs="Tahoma"/>
    </w:rPr>
  </w:style>
  <w:style w:type="paragraph" w:styleId="ListNumber2">
    <w:name w:val="List Number 2"/>
    <w:basedOn w:val="ListNumber"/>
    <w:rsid w:val="00E84377"/>
    <w:pPr>
      <w:ind w:left="851"/>
    </w:pPr>
  </w:style>
  <w:style w:type="paragraph" w:styleId="ListNumber">
    <w:name w:val="List Number"/>
    <w:basedOn w:val="List"/>
    <w:rsid w:val="00E84377"/>
  </w:style>
  <w:style w:type="paragraph" w:styleId="List">
    <w:name w:val="List"/>
    <w:basedOn w:val="Normal"/>
    <w:rsid w:val="00E84377"/>
    <w:pPr>
      <w:ind w:left="568" w:hanging="284"/>
    </w:pPr>
  </w:style>
  <w:style w:type="paragraph" w:styleId="Header">
    <w:name w:val="header"/>
    <w:link w:val="HeaderChar"/>
    <w:rsid w:val="00E8437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84377"/>
    <w:rPr>
      <w:b/>
      <w:bCs/>
      <w:position w:val="6"/>
      <w:sz w:val="16"/>
      <w:szCs w:val="16"/>
    </w:rPr>
  </w:style>
  <w:style w:type="paragraph" w:styleId="FootnoteText">
    <w:name w:val="footnote text"/>
    <w:basedOn w:val="Normal"/>
    <w:semiHidden/>
    <w:rsid w:val="00E84377"/>
    <w:pPr>
      <w:keepLines/>
      <w:spacing w:after="0"/>
      <w:ind w:left="454" w:hanging="454"/>
    </w:pPr>
    <w:rPr>
      <w:sz w:val="16"/>
      <w:szCs w:val="16"/>
    </w:rPr>
  </w:style>
  <w:style w:type="paragraph" w:customStyle="1" w:styleId="3GPPHeader">
    <w:name w:val="3GPP_Header"/>
    <w:basedOn w:val="Normal"/>
    <w:rsid w:val="00E84377"/>
    <w:pPr>
      <w:tabs>
        <w:tab w:val="left" w:pos="1701"/>
        <w:tab w:val="right" w:pos="9639"/>
      </w:tabs>
      <w:spacing w:after="240"/>
    </w:pPr>
    <w:rPr>
      <w:b/>
      <w:sz w:val="24"/>
    </w:rPr>
  </w:style>
  <w:style w:type="paragraph" w:styleId="TOC9">
    <w:name w:val="toc 9"/>
    <w:basedOn w:val="TOC8"/>
    <w:semiHidden/>
    <w:rsid w:val="00E84377"/>
    <w:pPr>
      <w:ind w:left="1418" w:hanging="1418"/>
    </w:pPr>
  </w:style>
  <w:style w:type="paragraph" w:styleId="TOC6">
    <w:name w:val="toc 6"/>
    <w:basedOn w:val="TOC5"/>
    <w:next w:val="Normal"/>
    <w:semiHidden/>
    <w:rsid w:val="00E84377"/>
    <w:pPr>
      <w:ind w:left="1985" w:hanging="1985"/>
    </w:pPr>
  </w:style>
  <w:style w:type="paragraph" w:styleId="TOC7">
    <w:name w:val="toc 7"/>
    <w:basedOn w:val="TOC6"/>
    <w:next w:val="Normal"/>
    <w:semiHidden/>
    <w:rsid w:val="00E84377"/>
    <w:pPr>
      <w:ind w:left="2268" w:hanging="2268"/>
    </w:pPr>
  </w:style>
  <w:style w:type="paragraph" w:styleId="ListBullet2">
    <w:name w:val="List Bullet 2"/>
    <w:basedOn w:val="ListBullet"/>
    <w:rsid w:val="00E84377"/>
    <w:pPr>
      <w:numPr>
        <w:numId w:val="6"/>
      </w:numPr>
    </w:pPr>
  </w:style>
  <w:style w:type="paragraph" w:styleId="ListBullet">
    <w:name w:val="List Bullet"/>
    <w:basedOn w:val="BodyText"/>
    <w:rsid w:val="00E84377"/>
    <w:pPr>
      <w:numPr>
        <w:numId w:val="5"/>
      </w:numPr>
    </w:pPr>
  </w:style>
  <w:style w:type="paragraph" w:styleId="ListBullet3">
    <w:name w:val="List Bullet 3"/>
    <w:basedOn w:val="ListBullet2"/>
    <w:rsid w:val="00E84377"/>
    <w:pPr>
      <w:numPr>
        <w:numId w:val="7"/>
      </w:numPr>
    </w:pPr>
  </w:style>
  <w:style w:type="paragraph" w:customStyle="1" w:styleId="EQ">
    <w:name w:val="EQ"/>
    <w:basedOn w:val="Normal"/>
    <w:next w:val="Normal"/>
    <w:rsid w:val="00E84377"/>
    <w:pPr>
      <w:keepLines/>
      <w:tabs>
        <w:tab w:val="center" w:pos="4536"/>
        <w:tab w:val="right" w:pos="9072"/>
      </w:tabs>
      <w:spacing w:after="180"/>
      <w:jc w:val="left"/>
    </w:pPr>
    <w:rPr>
      <w:noProof/>
      <w:lang w:eastAsia="en-US"/>
    </w:rPr>
  </w:style>
  <w:style w:type="paragraph" w:styleId="List2">
    <w:name w:val="List 2"/>
    <w:basedOn w:val="List"/>
    <w:rsid w:val="00E84377"/>
    <w:pPr>
      <w:ind w:left="851"/>
    </w:pPr>
  </w:style>
  <w:style w:type="paragraph" w:styleId="List3">
    <w:name w:val="List 3"/>
    <w:basedOn w:val="List2"/>
    <w:rsid w:val="00E84377"/>
    <w:pPr>
      <w:ind w:left="1135"/>
    </w:pPr>
  </w:style>
  <w:style w:type="paragraph" w:styleId="List4">
    <w:name w:val="List 4"/>
    <w:basedOn w:val="List3"/>
    <w:rsid w:val="00E84377"/>
    <w:pPr>
      <w:ind w:left="1418"/>
    </w:pPr>
  </w:style>
  <w:style w:type="paragraph" w:styleId="List5">
    <w:name w:val="List 5"/>
    <w:basedOn w:val="List4"/>
    <w:rsid w:val="00E84377"/>
    <w:pPr>
      <w:ind w:left="1702"/>
    </w:pPr>
  </w:style>
  <w:style w:type="paragraph" w:customStyle="1" w:styleId="EditorsNote">
    <w:name w:val="Editor's Note"/>
    <w:basedOn w:val="Normal"/>
    <w:rsid w:val="00E84377"/>
    <w:pPr>
      <w:keepLines/>
      <w:spacing w:after="180"/>
      <w:ind w:left="1135" w:hanging="851"/>
      <w:jc w:val="left"/>
    </w:pPr>
    <w:rPr>
      <w:color w:val="FF0000"/>
      <w:lang w:eastAsia="en-US"/>
    </w:rPr>
  </w:style>
  <w:style w:type="paragraph" w:styleId="ListBullet4">
    <w:name w:val="List Bullet 4"/>
    <w:basedOn w:val="ListBullet3"/>
    <w:rsid w:val="00E84377"/>
    <w:pPr>
      <w:numPr>
        <w:numId w:val="8"/>
      </w:numPr>
    </w:pPr>
  </w:style>
  <w:style w:type="paragraph" w:styleId="ListBullet5">
    <w:name w:val="List Bullet 5"/>
    <w:basedOn w:val="ListBullet4"/>
    <w:rsid w:val="00E84377"/>
    <w:pPr>
      <w:numPr>
        <w:numId w:val="4"/>
      </w:numPr>
    </w:pPr>
  </w:style>
  <w:style w:type="paragraph" w:styleId="Footer">
    <w:name w:val="footer"/>
    <w:basedOn w:val="Header"/>
    <w:semiHidden/>
    <w:rsid w:val="00E84377"/>
    <w:pPr>
      <w:jc w:val="center"/>
    </w:pPr>
    <w:rPr>
      <w:i/>
      <w:iCs/>
    </w:rPr>
  </w:style>
  <w:style w:type="paragraph" w:customStyle="1" w:styleId="Reference">
    <w:name w:val="Reference"/>
    <w:basedOn w:val="Normal"/>
    <w:rsid w:val="00E84377"/>
    <w:pPr>
      <w:numPr>
        <w:numId w:val="2"/>
      </w:numPr>
    </w:pPr>
  </w:style>
  <w:style w:type="paragraph" w:styleId="BalloonText">
    <w:name w:val="Balloon Text"/>
    <w:basedOn w:val="Normal"/>
    <w:semiHidden/>
    <w:rsid w:val="00E84377"/>
    <w:rPr>
      <w:rFonts w:ascii="Tahoma" w:hAnsi="Tahoma" w:cs="Tahoma"/>
      <w:sz w:val="16"/>
      <w:szCs w:val="16"/>
    </w:rPr>
  </w:style>
  <w:style w:type="character" w:styleId="PageNumber">
    <w:name w:val="page number"/>
    <w:basedOn w:val="DefaultParagraphFont"/>
    <w:semiHidden/>
    <w:rsid w:val="00E84377"/>
  </w:style>
  <w:style w:type="paragraph" w:styleId="BodyText">
    <w:name w:val="Body Text"/>
    <w:basedOn w:val="Normal"/>
    <w:link w:val="BodyTextChar"/>
    <w:rsid w:val="00E84377"/>
  </w:style>
  <w:style w:type="character" w:styleId="Hyperlink">
    <w:name w:val="Hyperlink"/>
    <w:uiPriority w:val="99"/>
    <w:rsid w:val="00E84377"/>
    <w:rPr>
      <w:color w:val="0000FF"/>
      <w:u w:val="single"/>
      <w:lang w:val="en-GB"/>
    </w:rPr>
  </w:style>
  <w:style w:type="character" w:styleId="FollowedHyperlink">
    <w:name w:val="FollowedHyperlink"/>
    <w:semiHidden/>
    <w:rsid w:val="00E84377"/>
    <w:rPr>
      <w:color w:val="FF0000"/>
      <w:u w:val="single"/>
    </w:rPr>
  </w:style>
  <w:style w:type="character" w:styleId="CommentReference">
    <w:name w:val="annotation reference"/>
    <w:semiHidden/>
    <w:rsid w:val="00E84377"/>
    <w:rPr>
      <w:sz w:val="16"/>
      <w:szCs w:val="16"/>
    </w:rPr>
  </w:style>
  <w:style w:type="paragraph" w:styleId="CommentText">
    <w:name w:val="annotation text"/>
    <w:basedOn w:val="Normal"/>
    <w:semiHidden/>
    <w:rsid w:val="00E84377"/>
  </w:style>
  <w:style w:type="paragraph" w:styleId="CommentSubject">
    <w:name w:val="annotation subject"/>
    <w:basedOn w:val="CommentText"/>
    <w:next w:val="CommentText"/>
    <w:semiHidden/>
    <w:rsid w:val="00E84377"/>
    <w:rPr>
      <w:b/>
      <w:bCs/>
    </w:rPr>
  </w:style>
  <w:style w:type="character" w:customStyle="1" w:styleId="Heading1Char">
    <w:name w:val="Heading 1 Char"/>
    <w:link w:val="Heading1"/>
    <w:rsid w:val="00E84377"/>
    <w:rPr>
      <w:rFonts w:ascii="Arial" w:hAnsi="Arial" w:cs="Arial"/>
      <w:sz w:val="36"/>
      <w:szCs w:val="36"/>
      <w:lang w:val="en-GB" w:eastAsia="zh-CN"/>
    </w:rPr>
  </w:style>
  <w:style w:type="paragraph" w:customStyle="1" w:styleId="B1">
    <w:name w:val="B1"/>
    <w:basedOn w:val="List"/>
    <w:link w:val="B1Char"/>
    <w:rsid w:val="00E84377"/>
    <w:pPr>
      <w:spacing w:after="180"/>
      <w:jc w:val="left"/>
    </w:pPr>
    <w:rPr>
      <w:lang w:eastAsia="en-US"/>
    </w:rPr>
  </w:style>
  <w:style w:type="paragraph" w:customStyle="1" w:styleId="B2">
    <w:name w:val="B2"/>
    <w:basedOn w:val="List2"/>
    <w:link w:val="B2Char"/>
    <w:rsid w:val="00E84377"/>
    <w:pPr>
      <w:spacing w:after="180"/>
      <w:jc w:val="left"/>
    </w:pPr>
    <w:rPr>
      <w:lang w:eastAsia="en-US"/>
    </w:rPr>
  </w:style>
  <w:style w:type="paragraph" w:customStyle="1" w:styleId="B3">
    <w:name w:val="B3"/>
    <w:basedOn w:val="List3"/>
    <w:link w:val="B3Char"/>
    <w:rsid w:val="00E84377"/>
    <w:pPr>
      <w:spacing w:after="180"/>
      <w:jc w:val="left"/>
    </w:pPr>
    <w:rPr>
      <w:lang w:eastAsia="en-US"/>
    </w:rPr>
  </w:style>
  <w:style w:type="paragraph" w:customStyle="1" w:styleId="B4">
    <w:name w:val="B4"/>
    <w:basedOn w:val="List4"/>
    <w:rsid w:val="00E84377"/>
    <w:pPr>
      <w:spacing w:after="180"/>
      <w:jc w:val="left"/>
    </w:pPr>
    <w:rPr>
      <w:lang w:eastAsia="en-US"/>
    </w:rPr>
  </w:style>
  <w:style w:type="paragraph" w:customStyle="1" w:styleId="Proposal">
    <w:name w:val="Proposal"/>
    <w:basedOn w:val="Normal"/>
    <w:rsid w:val="00E84377"/>
    <w:pPr>
      <w:numPr>
        <w:numId w:val="3"/>
      </w:numPr>
      <w:tabs>
        <w:tab w:val="clear" w:pos="1304"/>
        <w:tab w:val="left" w:pos="1701"/>
      </w:tabs>
      <w:ind w:left="1701" w:hanging="1701"/>
    </w:pPr>
    <w:rPr>
      <w:b/>
      <w:bCs/>
    </w:rPr>
  </w:style>
  <w:style w:type="character" w:customStyle="1" w:styleId="BodyTextChar">
    <w:name w:val="Body Text Char"/>
    <w:link w:val="BodyText"/>
    <w:rsid w:val="00E84377"/>
    <w:rPr>
      <w:rFonts w:ascii="Arial" w:hAnsi="Arial"/>
      <w:lang w:val="en-GB" w:eastAsia="zh-CN"/>
    </w:rPr>
  </w:style>
  <w:style w:type="paragraph" w:customStyle="1" w:styleId="B5">
    <w:name w:val="B5"/>
    <w:basedOn w:val="List5"/>
    <w:rsid w:val="00E84377"/>
    <w:pPr>
      <w:spacing w:after="180"/>
      <w:jc w:val="left"/>
    </w:pPr>
    <w:rPr>
      <w:lang w:eastAsia="en-US"/>
    </w:rPr>
  </w:style>
  <w:style w:type="paragraph" w:customStyle="1" w:styleId="EX">
    <w:name w:val="EX"/>
    <w:basedOn w:val="Normal"/>
    <w:rsid w:val="00E84377"/>
    <w:pPr>
      <w:keepLines/>
      <w:spacing w:after="180"/>
      <w:ind w:left="1702" w:hanging="1418"/>
      <w:jc w:val="left"/>
    </w:pPr>
    <w:rPr>
      <w:lang w:eastAsia="en-US"/>
    </w:rPr>
  </w:style>
  <w:style w:type="paragraph" w:customStyle="1" w:styleId="EW">
    <w:name w:val="EW"/>
    <w:basedOn w:val="EX"/>
    <w:rsid w:val="00E84377"/>
    <w:pPr>
      <w:spacing w:after="0"/>
    </w:pPr>
  </w:style>
  <w:style w:type="paragraph" w:customStyle="1" w:styleId="TAL">
    <w:name w:val="TAL"/>
    <w:basedOn w:val="Normal"/>
    <w:rsid w:val="00E84377"/>
    <w:pPr>
      <w:keepNext/>
      <w:keepLines/>
      <w:spacing w:after="0"/>
      <w:jc w:val="left"/>
    </w:pPr>
    <w:rPr>
      <w:sz w:val="18"/>
      <w:lang w:eastAsia="en-US"/>
    </w:rPr>
  </w:style>
  <w:style w:type="paragraph" w:customStyle="1" w:styleId="TAC">
    <w:name w:val="TAC"/>
    <w:basedOn w:val="TAL"/>
    <w:rsid w:val="00E84377"/>
    <w:pPr>
      <w:jc w:val="center"/>
    </w:pPr>
  </w:style>
  <w:style w:type="paragraph" w:customStyle="1" w:styleId="TAH">
    <w:name w:val="TAH"/>
    <w:basedOn w:val="TAC"/>
    <w:rsid w:val="00E84377"/>
    <w:rPr>
      <w:b/>
    </w:rPr>
  </w:style>
  <w:style w:type="paragraph" w:customStyle="1" w:styleId="TAN">
    <w:name w:val="TAN"/>
    <w:basedOn w:val="TAL"/>
    <w:rsid w:val="00E84377"/>
    <w:pPr>
      <w:ind w:left="851" w:hanging="851"/>
    </w:pPr>
  </w:style>
  <w:style w:type="paragraph" w:customStyle="1" w:styleId="TAR">
    <w:name w:val="TAR"/>
    <w:basedOn w:val="TAL"/>
    <w:rsid w:val="00E84377"/>
    <w:pPr>
      <w:jc w:val="right"/>
    </w:pPr>
  </w:style>
  <w:style w:type="paragraph" w:customStyle="1" w:styleId="TH">
    <w:name w:val="TH"/>
    <w:basedOn w:val="Normal"/>
    <w:rsid w:val="00E84377"/>
    <w:pPr>
      <w:keepNext/>
      <w:keepLines/>
      <w:spacing w:before="60" w:after="180"/>
      <w:jc w:val="center"/>
    </w:pPr>
    <w:rPr>
      <w:b/>
      <w:lang w:eastAsia="en-US"/>
    </w:rPr>
  </w:style>
  <w:style w:type="paragraph" w:customStyle="1" w:styleId="TF">
    <w:name w:val="TF"/>
    <w:basedOn w:val="TH"/>
    <w:rsid w:val="00E84377"/>
    <w:pPr>
      <w:keepNext w:val="0"/>
      <w:spacing w:before="0" w:after="240"/>
    </w:pPr>
  </w:style>
  <w:style w:type="paragraph" w:customStyle="1" w:styleId="TT">
    <w:name w:val="TT"/>
    <w:basedOn w:val="Heading1"/>
    <w:next w:val="Normal"/>
    <w:rsid w:val="00E84377"/>
    <w:pPr>
      <w:numPr>
        <w:numId w:val="0"/>
      </w:numPr>
      <w:ind w:left="1134" w:hanging="1134"/>
      <w:outlineLvl w:val="9"/>
    </w:pPr>
    <w:rPr>
      <w:rFonts w:cs="Times New Roman"/>
      <w:szCs w:val="20"/>
      <w:lang w:eastAsia="en-US"/>
    </w:rPr>
  </w:style>
  <w:style w:type="paragraph" w:customStyle="1" w:styleId="ZA">
    <w:name w:val="ZA"/>
    <w:rsid w:val="00E843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3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37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8437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84377"/>
  </w:style>
  <w:style w:type="paragraph" w:customStyle="1" w:styleId="ZH">
    <w:name w:val="ZH"/>
    <w:rsid w:val="00E8437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8437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84377"/>
    <w:pPr>
      <w:framePr w:hRule="auto" w:wrap="notBeside" w:y="852"/>
    </w:pPr>
    <w:rPr>
      <w:i w:val="0"/>
      <w:sz w:val="40"/>
    </w:rPr>
  </w:style>
  <w:style w:type="paragraph" w:customStyle="1" w:styleId="ZU">
    <w:name w:val="ZU"/>
    <w:rsid w:val="00E843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377"/>
    <w:pPr>
      <w:framePr w:wrap="notBeside" w:y="16161"/>
    </w:pPr>
  </w:style>
  <w:style w:type="paragraph" w:customStyle="1" w:styleId="FP">
    <w:name w:val="FP"/>
    <w:basedOn w:val="Normal"/>
    <w:rsid w:val="00E84377"/>
    <w:pPr>
      <w:spacing w:after="0"/>
      <w:jc w:val="left"/>
    </w:pPr>
    <w:rPr>
      <w:lang w:eastAsia="en-US"/>
    </w:rPr>
  </w:style>
  <w:style w:type="paragraph" w:customStyle="1" w:styleId="Observation">
    <w:name w:val="Observation"/>
    <w:basedOn w:val="Proposal"/>
    <w:qFormat/>
    <w:rsid w:val="00E84377"/>
    <w:pPr>
      <w:numPr>
        <w:numId w:val="13"/>
      </w:numPr>
      <w:ind w:left="1701" w:hanging="1701"/>
    </w:pPr>
  </w:style>
  <w:style w:type="paragraph" w:styleId="TableofFigures">
    <w:name w:val="table of figures"/>
    <w:basedOn w:val="Normal"/>
    <w:next w:val="Normal"/>
    <w:uiPriority w:val="99"/>
    <w:rsid w:val="00E84377"/>
    <w:pPr>
      <w:ind w:left="1418" w:hanging="1418"/>
      <w:jc w:val="left"/>
    </w:pPr>
    <w:rPr>
      <w:b/>
    </w:rPr>
  </w:style>
  <w:style w:type="paragraph" w:styleId="ListParagraph">
    <w:name w:val="List Paragraph"/>
    <w:basedOn w:val="Normal"/>
    <w:uiPriority w:val="34"/>
    <w:qFormat/>
    <w:rsid w:val="00662260"/>
    <w:pPr>
      <w:ind w:left="720"/>
      <w:contextualSpacing/>
    </w:pPr>
  </w:style>
  <w:style w:type="character" w:customStyle="1" w:styleId="B1Char">
    <w:name w:val="B1 Char"/>
    <w:link w:val="B1"/>
    <w:rsid w:val="004558D0"/>
    <w:rPr>
      <w:rFonts w:ascii="Arial" w:hAnsi="Arial"/>
      <w:lang w:val="en-GB"/>
    </w:rPr>
  </w:style>
  <w:style w:type="character" w:customStyle="1" w:styleId="B2Char">
    <w:name w:val="B2 Char"/>
    <w:link w:val="B2"/>
    <w:rsid w:val="004558D0"/>
    <w:rPr>
      <w:rFonts w:ascii="Arial" w:hAnsi="Arial"/>
      <w:lang w:val="en-GB"/>
    </w:rPr>
  </w:style>
  <w:style w:type="character" w:customStyle="1" w:styleId="B3Char">
    <w:name w:val="B3 Char"/>
    <w:link w:val="B3"/>
    <w:rsid w:val="004558D0"/>
    <w:rPr>
      <w:rFonts w:ascii="Arial" w:hAnsi="Arial"/>
      <w:lang w:val="en-GB"/>
    </w:rPr>
  </w:style>
  <w:style w:type="character" w:customStyle="1" w:styleId="msoins">
    <w:name w:val="msoins"/>
    <w:basedOn w:val="DefaultParagraphFont"/>
    <w:rsid w:val="0016779C"/>
  </w:style>
  <w:style w:type="paragraph" w:customStyle="1" w:styleId="NO">
    <w:name w:val="NO"/>
    <w:basedOn w:val="Normal"/>
    <w:link w:val="NOChar"/>
    <w:rsid w:val="00762956"/>
    <w:pPr>
      <w:keepLines/>
      <w:spacing w:after="180"/>
      <w:ind w:left="1135" w:hanging="851"/>
      <w:jc w:val="left"/>
    </w:pPr>
    <w:rPr>
      <w:rFonts w:ascii="Times New Roman" w:hAnsi="Times New Roman"/>
      <w:lang w:eastAsia="ko-KR"/>
    </w:rPr>
  </w:style>
  <w:style w:type="character" w:customStyle="1" w:styleId="NOChar">
    <w:name w:val="NO Char"/>
    <w:link w:val="NO"/>
    <w:rsid w:val="00762956"/>
    <w:rPr>
      <w:rFonts w:ascii="Times New Roman" w:hAnsi="Times New Roman"/>
      <w:lang w:val="en-GB" w:eastAsia="ko-KR"/>
    </w:rPr>
  </w:style>
  <w:style w:type="paragraph" w:customStyle="1" w:styleId="Doc-text2">
    <w:name w:val="Doc-text2"/>
    <w:basedOn w:val="Normal"/>
    <w:link w:val="Doc-text2Char"/>
    <w:qFormat/>
    <w:rsid w:val="00CF002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CF002A"/>
    <w:rPr>
      <w:rFonts w:ascii="Arial" w:eastAsia="MS Mincho" w:hAnsi="Arial"/>
      <w:szCs w:val="24"/>
      <w:lang w:val="en-GB" w:eastAsia="en-GB"/>
    </w:rPr>
  </w:style>
  <w:style w:type="character" w:customStyle="1" w:styleId="HeaderChar">
    <w:name w:val="Header Char"/>
    <w:link w:val="Header"/>
    <w:rsid w:val="00FD00D1"/>
    <w:rPr>
      <w:rFonts w:ascii="Arial" w:hAnsi="Arial" w:cs="Arial"/>
      <w:b/>
      <w:bCs/>
      <w:noProof/>
      <w:sz w:val="18"/>
      <w:szCs w:val="18"/>
      <w:lang w:eastAsia="zh-CN"/>
    </w:rPr>
  </w:style>
  <w:style w:type="paragraph" w:styleId="Revision">
    <w:name w:val="Revision"/>
    <w:hidden/>
    <w:uiPriority w:val="99"/>
    <w:semiHidden/>
    <w:rsid w:val="00443F5C"/>
    <w:rPr>
      <w:rFonts w:ascii="Arial" w:hAnsi="Arial"/>
      <w:lang w:val="en-GB" w:eastAsia="zh-CN"/>
    </w:rPr>
  </w:style>
  <w:style w:type="table" w:styleId="TableGrid">
    <w:name w:val="Table Grid"/>
    <w:basedOn w:val="TableNormal"/>
    <w:rsid w:val="009644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7334262">
      <w:bodyDiv w:val="1"/>
      <w:marLeft w:val="0"/>
      <w:marRight w:val="0"/>
      <w:marTop w:val="0"/>
      <w:marBottom w:val="0"/>
      <w:divBdr>
        <w:top w:val="none" w:sz="0" w:space="0" w:color="auto"/>
        <w:left w:val="none" w:sz="0" w:space="0" w:color="auto"/>
        <w:bottom w:val="none" w:sz="0" w:space="0" w:color="auto"/>
        <w:right w:val="none" w:sz="0" w:space="0" w:color="auto"/>
      </w:divBdr>
      <w:divsChild>
        <w:div w:id="339162401">
          <w:marLeft w:val="274"/>
          <w:marRight w:val="0"/>
          <w:marTop w:val="115"/>
          <w:marBottom w:val="0"/>
          <w:divBdr>
            <w:top w:val="none" w:sz="0" w:space="0" w:color="auto"/>
            <w:left w:val="none" w:sz="0" w:space="0" w:color="auto"/>
            <w:bottom w:val="none" w:sz="0" w:space="0" w:color="auto"/>
            <w:right w:val="none" w:sz="0" w:space="0" w:color="auto"/>
          </w:divBdr>
        </w:div>
        <w:div w:id="1667587169">
          <w:marLeft w:val="835"/>
          <w:marRight w:val="0"/>
          <w:marTop w:val="96"/>
          <w:marBottom w:val="0"/>
          <w:divBdr>
            <w:top w:val="none" w:sz="0" w:space="0" w:color="auto"/>
            <w:left w:val="none" w:sz="0" w:space="0" w:color="auto"/>
            <w:bottom w:val="none" w:sz="0" w:space="0" w:color="auto"/>
            <w:right w:val="none" w:sz="0" w:space="0" w:color="auto"/>
          </w:divBdr>
        </w:div>
        <w:div w:id="109052775">
          <w:marLeft w:val="835"/>
          <w:marRight w:val="0"/>
          <w:marTop w:val="96"/>
          <w:marBottom w:val="0"/>
          <w:divBdr>
            <w:top w:val="none" w:sz="0" w:space="0" w:color="auto"/>
            <w:left w:val="none" w:sz="0" w:space="0" w:color="auto"/>
            <w:bottom w:val="none" w:sz="0" w:space="0" w:color="auto"/>
            <w:right w:val="none" w:sz="0" w:space="0" w:color="auto"/>
          </w:divBdr>
        </w:div>
        <w:div w:id="1013075244">
          <w:marLeft w:val="835"/>
          <w:marRight w:val="0"/>
          <w:marTop w:val="96"/>
          <w:marBottom w:val="0"/>
          <w:divBdr>
            <w:top w:val="none" w:sz="0" w:space="0" w:color="auto"/>
            <w:left w:val="none" w:sz="0" w:space="0" w:color="auto"/>
            <w:bottom w:val="none" w:sz="0" w:space="0" w:color="auto"/>
            <w:right w:val="none" w:sz="0" w:space="0" w:color="auto"/>
          </w:divBdr>
        </w:div>
        <w:div w:id="1888879337">
          <w:marLeft w:val="274"/>
          <w:marRight w:val="0"/>
          <w:marTop w:val="96"/>
          <w:marBottom w:val="0"/>
          <w:divBdr>
            <w:top w:val="none" w:sz="0" w:space="0" w:color="auto"/>
            <w:left w:val="none" w:sz="0" w:space="0" w:color="auto"/>
            <w:bottom w:val="none" w:sz="0" w:space="0" w:color="auto"/>
            <w:right w:val="none" w:sz="0" w:space="0" w:color="auto"/>
          </w:divBdr>
        </w:div>
        <w:div w:id="1008144621">
          <w:marLeft w:val="835"/>
          <w:marRight w:val="0"/>
          <w:marTop w:val="86"/>
          <w:marBottom w:val="0"/>
          <w:divBdr>
            <w:top w:val="none" w:sz="0" w:space="0" w:color="auto"/>
            <w:left w:val="none" w:sz="0" w:space="0" w:color="auto"/>
            <w:bottom w:val="none" w:sz="0" w:space="0" w:color="auto"/>
            <w:right w:val="none" w:sz="0" w:space="0" w:color="auto"/>
          </w:divBdr>
        </w:div>
        <w:div w:id="1795757552">
          <w:marLeft w:val="835"/>
          <w:marRight w:val="0"/>
          <w:marTop w:val="86"/>
          <w:marBottom w:val="0"/>
          <w:divBdr>
            <w:top w:val="none" w:sz="0" w:space="0" w:color="auto"/>
            <w:left w:val="none" w:sz="0" w:space="0" w:color="auto"/>
            <w:bottom w:val="none" w:sz="0" w:space="0" w:color="auto"/>
            <w:right w:val="none" w:sz="0" w:space="0" w:color="auto"/>
          </w:divBdr>
        </w:div>
      </w:divsChild>
    </w:div>
    <w:div w:id="1376466064">
      <w:bodyDiv w:val="1"/>
      <w:marLeft w:val="0"/>
      <w:marRight w:val="0"/>
      <w:marTop w:val="0"/>
      <w:marBottom w:val="0"/>
      <w:divBdr>
        <w:top w:val="none" w:sz="0" w:space="0" w:color="auto"/>
        <w:left w:val="none" w:sz="0" w:space="0" w:color="auto"/>
        <w:bottom w:val="none" w:sz="0" w:space="0" w:color="auto"/>
        <w:right w:val="none" w:sz="0" w:space="0" w:color="auto"/>
      </w:divBdr>
    </w:div>
    <w:div w:id="1861971215">
      <w:bodyDiv w:val="1"/>
      <w:marLeft w:val="0"/>
      <w:marRight w:val="0"/>
      <w:marTop w:val="0"/>
      <w:marBottom w:val="0"/>
      <w:divBdr>
        <w:top w:val="none" w:sz="0" w:space="0" w:color="auto"/>
        <w:left w:val="none" w:sz="0" w:space="0" w:color="auto"/>
        <w:bottom w:val="none" w:sz="0" w:space="0" w:color="auto"/>
        <w:right w:val="none" w:sz="0" w:space="0" w:color="auto"/>
      </w:divBdr>
      <w:divsChild>
        <w:div w:id="222718416">
          <w:marLeft w:val="274"/>
          <w:marRight w:val="0"/>
          <w:marTop w:val="115"/>
          <w:marBottom w:val="0"/>
          <w:divBdr>
            <w:top w:val="none" w:sz="0" w:space="0" w:color="auto"/>
            <w:left w:val="none" w:sz="0" w:space="0" w:color="auto"/>
            <w:bottom w:val="none" w:sz="0" w:space="0" w:color="auto"/>
            <w:right w:val="none" w:sz="0" w:space="0" w:color="auto"/>
          </w:divBdr>
        </w:div>
        <w:div w:id="1755513420">
          <w:marLeft w:val="835"/>
          <w:marRight w:val="0"/>
          <w:marTop w:val="96"/>
          <w:marBottom w:val="0"/>
          <w:divBdr>
            <w:top w:val="none" w:sz="0" w:space="0" w:color="auto"/>
            <w:left w:val="none" w:sz="0" w:space="0" w:color="auto"/>
            <w:bottom w:val="none" w:sz="0" w:space="0" w:color="auto"/>
            <w:right w:val="none" w:sz="0" w:space="0" w:color="auto"/>
          </w:divBdr>
        </w:div>
        <w:div w:id="1381785968">
          <w:marLeft w:val="835"/>
          <w:marRight w:val="0"/>
          <w:marTop w:val="96"/>
          <w:marBottom w:val="0"/>
          <w:divBdr>
            <w:top w:val="none" w:sz="0" w:space="0" w:color="auto"/>
            <w:left w:val="none" w:sz="0" w:space="0" w:color="auto"/>
            <w:bottom w:val="none" w:sz="0" w:space="0" w:color="auto"/>
            <w:right w:val="none" w:sz="0" w:space="0" w:color="auto"/>
          </w:divBdr>
        </w:div>
        <w:div w:id="2008357549">
          <w:marLeft w:val="835"/>
          <w:marRight w:val="0"/>
          <w:marTop w:val="96"/>
          <w:marBottom w:val="0"/>
          <w:divBdr>
            <w:top w:val="none" w:sz="0" w:space="0" w:color="auto"/>
            <w:left w:val="none" w:sz="0" w:space="0" w:color="auto"/>
            <w:bottom w:val="none" w:sz="0" w:space="0" w:color="auto"/>
            <w:right w:val="none" w:sz="0" w:space="0" w:color="auto"/>
          </w:divBdr>
        </w:div>
        <w:div w:id="461963312">
          <w:marLeft w:val="274"/>
          <w:marRight w:val="0"/>
          <w:marTop w:val="96"/>
          <w:marBottom w:val="0"/>
          <w:divBdr>
            <w:top w:val="none" w:sz="0" w:space="0" w:color="auto"/>
            <w:left w:val="none" w:sz="0" w:space="0" w:color="auto"/>
            <w:bottom w:val="none" w:sz="0" w:space="0" w:color="auto"/>
            <w:right w:val="none" w:sz="0" w:space="0" w:color="auto"/>
          </w:divBdr>
        </w:div>
        <w:div w:id="586155591">
          <w:marLeft w:val="835"/>
          <w:marRight w:val="0"/>
          <w:marTop w:val="86"/>
          <w:marBottom w:val="0"/>
          <w:divBdr>
            <w:top w:val="none" w:sz="0" w:space="0" w:color="auto"/>
            <w:left w:val="none" w:sz="0" w:space="0" w:color="auto"/>
            <w:bottom w:val="none" w:sz="0" w:space="0" w:color="auto"/>
            <w:right w:val="none" w:sz="0" w:space="0" w:color="auto"/>
          </w:divBdr>
        </w:div>
        <w:div w:id="1066220931">
          <w:marLeft w:val="835"/>
          <w:marRight w:val="0"/>
          <w:marTop w:val="86"/>
          <w:marBottom w:val="0"/>
          <w:divBdr>
            <w:top w:val="none" w:sz="0" w:space="0" w:color="auto"/>
            <w:left w:val="none" w:sz="0" w:space="0" w:color="auto"/>
            <w:bottom w:val="none" w:sz="0" w:space="0" w:color="auto"/>
            <w:right w:val="none" w:sz="0" w:space="0" w:color="auto"/>
          </w:divBdr>
        </w:div>
      </w:divsChild>
    </w:div>
    <w:div w:id="2114393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styles" Target="styles.xml"/><Relationship Id="rId20" Type="http://schemas.openxmlformats.org/officeDocument/2006/relationships/oleObject" Target="embeddings/oleObject4.bin"/><Relationship Id="rId21" Type="http://schemas.openxmlformats.org/officeDocument/2006/relationships/oleObject" Target="embeddings/oleObject5.bin"/><Relationship Id="rId22" Type="http://schemas.openxmlformats.org/officeDocument/2006/relationships/oleObject" Target="embeddings/oleObject6.bin"/><Relationship Id="rId23" Type="http://schemas.openxmlformats.org/officeDocument/2006/relationships/oleObject" Target="embeddings/oleObject7.bin"/><Relationship Id="rId24" Type="http://schemas.openxmlformats.org/officeDocument/2006/relationships/oleObject" Target="embeddings/oleObject8.bin"/><Relationship Id="rId25" Type="http://schemas.openxmlformats.org/officeDocument/2006/relationships/oleObject" Target="embeddings/oleObject9.bin"/><Relationship Id="rId26" Type="http://schemas.openxmlformats.org/officeDocument/2006/relationships/oleObject" Target="embeddings/oleObject10.bin"/><Relationship Id="rId27" Type="http://schemas.openxmlformats.org/officeDocument/2006/relationships/header" Target="header1.xml"/><Relationship Id="rId28" Type="http://schemas.openxmlformats.org/officeDocument/2006/relationships/footer" Target="footer1.xml"/><Relationship Id="rId29" Type="http://schemas.openxmlformats.org/officeDocument/2006/relationships/fontTable" Target="fontTable.xml"/><Relationship Id="rId30" Type="http://schemas.openxmlformats.org/officeDocument/2006/relationships/theme" Target="theme/theme1.xml"/><Relationship Id="rId10" Type="http://schemas.openxmlformats.org/officeDocument/2006/relationships/settings" Target="settings.xml"/><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image" Target="media/image1.png"/><Relationship Id="rId15" Type="http://schemas.openxmlformats.org/officeDocument/2006/relationships/image" Target="media/image2.png"/><Relationship Id="rId16" Type="http://schemas.openxmlformats.org/officeDocument/2006/relationships/oleObject" Target="embeddings/oleObject1.bin"/><Relationship Id="rId17" Type="http://schemas.openxmlformats.org/officeDocument/2006/relationships/oleObject" Target="embeddings/oleObject2.bin"/><Relationship Id="rId18" Type="http://schemas.openxmlformats.org/officeDocument/2006/relationships/oleObject" Target="embeddings/oleObject3.bin"/><Relationship Id="rId19" Type="http://schemas.openxmlformats.org/officeDocument/2006/relationships/image" Target="media/image3.png"/><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customXml" Target="../customXml/item7.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Liu Jinhua</Prepared.>
    <EriCOLLCustomerTaxHTField0 xmlns="08b2df90-05d3-4030-90d4-c9feeb4a1cd9">
      <Terms xmlns="http://schemas.microsoft.com/office/infopath/2007/PartnerControls"/>
    </EriCOLLCustomerTaxHTField0>
    <_dlc_DocId xmlns="08b2df90-05d3-4030-90d4-c9feeb4a1cd9">5NUHHDQN7SK2-1-112746</_dlc_DocId>
    <_dlc_DocIdUrl xmlns="08b2df90-05d3-4030-90d4-c9feeb4a1cd9">
      <Url>https://ericoll.internal.ericsson.com/sites/STAR/_layouts/DocIdRedir.aspx?ID=5NUHHDQN7SK2-1-112746</Url>
      <Description>5NUHHDQN7SK2-1-112746</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0644C-6BEA-4A28-8785-968290B61A99}"/>
</file>

<file path=customXml/itemProps2.xml><?xml version="1.0" encoding="utf-8"?>
<ds:datastoreItem xmlns:ds="http://schemas.openxmlformats.org/officeDocument/2006/customXml" ds:itemID="{A6ADDEA9-6B92-4E8E-BF1A-BE0E057DD172}"/>
</file>

<file path=customXml/itemProps3.xml><?xml version="1.0" encoding="utf-8"?>
<ds:datastoreItem xmlns:ds="http://schemas.openxmlformats.org/officeDocument/2006/customXml" ds:itemID="{9F5946CB-8946-499C-8B44-7DE1A592D1D0}"/>
</file>

<file path=customXml/itemProps4.xml><?xml version="1.0" encoding="utf-8"?>
<ds:datastoreItem xmlns:ds="http://schemas.openxmlformats.org/officeDocument/2006/customXml" ds:itemID="{BEE23EE5-5864-4ADF-A848-295F30FA12F3}"/>
</file>

<file path=customXml/itemProps5.xml><?xml version="1.0" encoding="utf-8"?>
<ds:datastoreItem xmlns:ds="http://schemas.openxmlformats.org/officeDocument/2006/customXml" ds:itemID="{9B36E9F0-9DBD-40EA-AED0-3F87E0FBAA56}"/>
</file>

<file path=customXml/itemProps6.xml><?xml version="1.0" encoding="utf-8"?>
<ds:datastoreItem xmlns:ds="http://schemas.openxmlformats.org/officeDocument/2006/customXml" ds:itemID="{F95D044E-DEF4-44A0-9715-94CD62B64AD4}"/>
</file>

<file path=customXml/itemProps7.xml><?xml version="1.0" encoding="utf-8"?>
<ds:datastoreItem xmlns:ds="http://schemas.openxmlformats.org/officeDocument/2006/customXml" ds:itemID="{0F1C0E23-641A-7446-AAE4-220F87A4A84A}"/>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16</TotalTime>
  <Pages>4</Pages>
  <Words>1496</Words>
  <Characters>8042</Characters>
  <Application>Microsoft Macintosh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Henrik Enbuske</cp:lastModifiedBy>
  <cp:revision>77</cp:revision>
  <cp:lastPrinted>2017-03-01T11:38:00Z</cp:lastPrinted>
  <dcterms:created xsi:type="dcterms:W3CDTF">2017-03-07T01:36:00Z</dcterms:created>
  <dcterms:modified xsi:type="dcterms:W3CDTF">2017-03-24T22:54:00Z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0a18703a-c4c7-4f6f-8c9c-5ee84c7b982e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